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A9A1D" w14:textId="77777777" w:rsidR="00215160" w:rsidRDefault="00215160"/>
    <w:p w14:paraId="123B0BA5" w14:textId="0659A64F" w:rsidR="002C4042" w:rsidRPr="00BB6839" w:rsidRDefault="002C4042">
      <w:pPr>
        <w:rPr>
          <w:lang w:val="pt-BR"/>
        </w:rPr>
      </w:pPr>
      <w:r w:rsidRPr="00BB6839">
        <w:rPr>
          <w:lang w:val="pt-BR"/>
        </w:rPr>
        <w:t xml:space="preserve">Bogotá D.C., </w:t>
      </w:r>
      <w:r w:rsidR="00BF2669">
        <w:rPr>
          <w:lang w:val="pt-BR"/>
        </w:rPr>
        <w:t>30</w:t>
      </w:r>
      <w:r w:rsidRPr="00BB6839">
        <w:rPr>
          <w:lang w:val="pt-BR"/>
        </w:rPr>
        <w:t xml:space="preserve"> de </w:t>
      </w:r>
      <w:r w:rsidR="00BB6839" w:rsidRPr="00BB6839">
        <w:rPr>
          <w:lang w:val="pt-BR"/>
        </w:rPr>
        <w:t>agosto</w:t>
      </w:r>
      <w:r w:rsidRPr="00BB6839">
        <w:rPr>
          <w:lang w:val="pt-BR"/>
        </w:rPr>
        <w:t xml:space="preserve"> de 202</w:t>
      </w:r>
      <w:r w:rsidR="00BB6839" w:rsidRPr="00BB6839">
        <w:rPr>
          <w:lang w:val="pt-BR"/>
        </w:rPr>
        <w:t>3</w:t>
      </w:r>
    </w:p>
    <w:p w14:paraId="12DCDA8F" w14:textId="3DB94903" w:rsidR="002C4042" w:rsidRPr="00BB6839" w:rsidRDefault="002C4042">
      <w:pPr>
        <w:rPr>
          <w:lang w:val="pt-BR"/>
        </w:rPr>
      </w:pPr>
    </w:p>
    <w:p w14:paraId="0832C040" w14:textId="1E0607A8" w:rsidR="002C4042" w:rsidRPr="00BB6839" w:rsidRDefault="002C4042">
      <w:pPr>
        <w:rPr>
          <w:lang w:val="pt-BR"/>
        </w:rPr>
      </w:pPr>
    </w:p>
    <w:p w14:paraId="2CC1E8EC" w14:textId="32B8FC0B" w:rsidR="002C4042" w:rsidRDefault="002C4042">
      <w:r>
        <w:t>Honorable Representante</w:t>
      </w:r>
    </w:p>
    <w:p w14:paraId="1FEC3544" w14:textId="64472A91" w:rsidR="002C4042" w:rsidRPr="002C4042" w:rsidRDefault="00361D49">
      <w:pPr>
        <w:rPr>
          <w:b/>
          <w:bCs/>
        </w:rPr>
      </w:pPr>
      <w:r>
        <w:rPr>
          <w:b/>
          <w:bCs/>
        </w:rPr>
        <w:t>ANDRÉS DAVID CALLE AGUAS</w:t>
      </w:r>
    </w:p>
    <w:p w14:paraId="7850D061" w14:textId="44560D7F" w:rsidR="002C4042" w:rsidRDefault="002C4042">
      <w:r>
        <w:t>Presidente</w:t>
      </w:r>
    </w:p>
    <w:p w14:paraId="7EC294AC" w14:textId="3248C1AC" w:rsidR="002C4042" w:rsidRDefault="002C4042">
      <w:r>
        <w:t>Cámara de Representantes</w:t>
      </w:r>
    </w:p>
    <w:p w14:paraId="41AB0CA1" w14:textId="640237DA" w:rsidR="002C4042" w:rsidRDefault="002C4042">
      <w:r>
        <w:t>Ciudad</w:t>
      </w:r>
    </w:p>
    <w:p w14:paraId="44258F65" w14:textId="6FFAF06D" w:rsidR="002C4042" w:rsidRDefault="002C4042"/>
    <w:p w14:paraId="08E68488" w14:textId="0E76FD7F" w:rsidR="002C4042" w:rsidRDefault="002C4042"/>
    <w:p w14:paraId="05E7AB6F" w14:textId="7518DD47" w:rsidR="002C4042" w:rsidRPr="002C4042" w:rsidRDefault="002C4042" w:rsidP="00215160">
      <w:pPr>
        <w:jc w:val="both"/>
        <w:rPr>
          <w:b/>
          <w:bCs/>
        </w:rPr>
      </w:pPr>
      <w:r w:rsidRPr="002C4042">
        <w:rPr>
          <w:b/>
          <w:bCs/>
        </w:rPr>
        <w:t xml:space="preserve">REF: Informe de ponencia para </w:t>
      </w:r>
      <w:r w:rsidR="00361D49">
        <w:rPr>
          <w:b/>
          <w:bCs/>
        </w:rPr>
        <w:t>segundo</w:t>
      </w:r>
      <w:r w:rsidRPr="002C4042">
        <w:rPr>
          <w:b/>
          <w:bCs/>
        </w:rPr>
        <w:t xml:space="preserve"> debate </w:t>
      </w:r>
      <w:r w:rsidR="00361D49">
        <w:rPr>
          <w:b/>
          <w:bCs/>
        </w:rPr>
        <w:t xml:space="preserve">del </w:t>
      </w:r>
      <w:r w:rsidRPr="002C4042">
        <w:rPr>
          <w:b/>
          <w:bCs/>
        </w:rPr>
        <w:t xml:space="preserve">Proyecto de Acto Legislativo Nº </w:t>
      </w:r>
      <w:r w:rsidR="00BB6839">
        <w:rPr>
          <w:b/>
          <w:bCs/>
        </w:rPr>
        <w:t>033</w:t>
      </w:r>
      <w:r w:rsidRPr="002C4042">
        <w:rPr>
          <w:b/>
          <w:bCs/>
        </w:rPr>
        <w:t xml:space="preserve"> de 202</w:t>
      </w:r>
      <w:r w:rsidR="00BB6839">
        <w:rPr>
          <w:b/>
          <w:bCs/>
        </w:rPr>
        <w:t>3</w:t>
      </w:r>
      <w:r w:rsidRPr="002C4042">
        <w:rPr>
          <w:b/>
          <w:bCs/>
        </w:rPr>
        <w:t xml:space="preserve"> Cámara</w:t>
      </w:r>
      <w:r w:rsidR="0051109A">
        <w:rPr>
          <w:b/>
          <w:bCs/>
        </w:rPr>
        <w:t xml:space="preserve"> -</w:t>
      </w:r>
      <w:r w:rsidR="00010CE1">
        <w:rPr>
          <w:b/>
          <w:bCs/>
        </w:rPr>
        <w:t xml:space="preserve"> </w:t>
      </w:r>
      <w:r w:rsidR="0051109A">
        <w:rPr>
          <w:b/>
          <w:bCs/>
        </w:rPr>
        <w:t>Pri</w:t>
      </w:r>
      <w:r w:rsidR="0051109A" w:rsidRPr="0051109A">
        <w:rPr>
          <w:b/>
          <w:bCs/>
        </w:rPr>
        <w:t>m</w:t>
      </w:r>
      <w:r w:rsidR="0051109A">
        <w:rPr>
          <w:b/>
          <w:bCs/>
        </w:rPr>
        <w:t>era Vuelta-</w:t>
      </w:r>
      <w:r w:rsidRPr="002C4042">
        <w:rPr>
          <w:b/>
          <w:bCs/>
        </w:rPr>
        <w:t xml:space="preserve"> “</w:t>
      </w:r>
      <w:r w:rsidR="00BB6839" w:rsidRPr="00BB6839">
        <w:rPr>
          <w:b/>
          <w:bCs/>
        </w:rPr>
        <w:t>Por el cual se otorga la categoría de distrito especial eje del conocimiento al municipio de Manizales en el departamento de Caldas</w:t>
      </w:r>
      <w:r w:rsidR="00BB6839">
        <w:rPr>
          <w:b/>
          <w:bCs/>
        </w:rPr>
        <w:t>”.</w:t>
      </w:r>
    </w:p>
    <w:p w14:paraId="24B11BC6" w14:textId="39834B54" w:rsidR="002C4042" w:rsidRPr="002C4042" w:rsidRDefault="002C4042"/>
    <w:p w14:paraId="7CEDAB88" w14:textId="44DA6E53" w:rsidR="002C4042" w:rsidRPr="002C4042" w:rsidRDefault="002C4042"/>
    <w:p w14:paraId="0AC751FA" w14:textId="5133BB3D" w:rsidR="002C4042" w:rsidRDefault="00215160">
      <w:r>
        <w:t>Respetado Presidente,</w:t>
      </w:r>
    </w:p>
    <w:p w14:paraId="48A2F8C3" w14:textId="2F2E365E" w:rsidR="00215160" w:rsidRDefault="00215160"/>
    <w:p w14:paraId="1AE892B6" w14:textId="67510C6F" w:rsidR="00215160" w:rsidRDefault="00215160"/>
    <w:p w14:paraId="2B56E0A2" w14:textId="0067E3C8" w:rsidR="00215160" w:rsidRDefault="00215160" w:rsidP="00215160">
      <w:pPr>
        <w:jc w:val="both"/>
      </w:pPr>
      <w:r w:rsidRPr="00215160">
        <w:t xml:space="preserve">Atendiendo la designación que la Mesa Directiva de la Comisión </w:t>
      </w:r>
      <w:r>
        <w:t>Primera</w:t>
      </w:r>
      <w:r w:rsidRPr="00215160">
        <w:t xml:space="preserve"> Constitucional permanente de la Cámara de Representantes y de conformidad con lo dispuesto en la Constitución Política y en la Ley 5ª de 1992,</w:t>
      </w:r>
      <w:r>
        <w:t xml:space="preserve"> rindo informe</w:t>
      </w:r>
      <w:r w:rsidR="0051109A">
        <w:t xml:space="preserve"> </w:t>
      </w:r>
      <w:r>
        <w:t xml:space="preserve">de ponencia </w:t>
      </w:r>
      <w:r w:rsidR="00147EC4">
        <w:t xml:space="preserve">positiva </w:t>
      </w:r>
      <w:r>
        <w:t xml:space="preserve">para </w:t>
      </w:r>
      <w:r w:rsidR="00361D49">
        <w:t>segundo</w:t>
      </w:r>
      <w:r>
        <w:t xml:space="preserve"> debate del proyecto de la referencia.</w:t>
      </w:r>
    </w:p>
    <w:p w14:paraId="447B697F" w14:textId="4D8B01A8" w:rsidR="00215160" w:rsidRDefault="00215160" w:rsidP="00215160">
      <w:pPr>
        <w:jc w:val="both"/>
      </w:pPr>
    </w:p>
    <w:p w14:paraId="68CB5FAC" w14:textId="5D223AED" w:rsidR="00215160" w:rsidRDefault="00215160" w:rsidP="00215160">
      <w:pPr>
        <w:jc w:val="both"/>
      </w:pPr>
    </w:p>
    <w:p w14:paraId="053B7017" w14:textId="4DAF5DB8" w:rsidR="00215160" w:rsidRDefault="00215160" w:rsidP="00215160">
      <w:pPr>
        <w:jc w:val="both"/>
      </w:pPr>
      <w:r>
        <w:t>Firma el Honorable Representante,</w:t>
      </w:r>
    </w:p>
    <w:p w14:paraId="5BAB4C16" w14:textId="6883AE18" w:rsidR="00215160" w:rsidRDefault="00215160" w:rsidP="00215160">
      <w:pPr>
        <w:jc w:val="both"/>
      </w:pPr>
    </w:p>
    <w:p w14:paraId="1EBAB61F" w14:textId="7BE99036" w:rsidR="008F54F8" w:rsidRDefault="008F54F8" w:rsidP="00215160">
      <w:pPr>
        <w:jc w:val="both"/>
      </w:pPr>
    </w:p>
    <w:p w14:paraId="4A4E565C" w14:textId="77777777" w:rsidR="008F54F8" w:rsidRDefault="008F54F8" w:rsidP="00215160">
      <w:pPr>
        <w:jc w:val="both"/>
      </w:pPr>
    </w:p>
    <w:p w14:paraId="7AB29395" w14:textId="2FD4ACA6" w:rsidR="00215160" w:rsidRDefault="00215160" w:rsidP="00215160">
      <w:pPr>
        <w:jc w:val="both"/>
      </w:pPr>
    </w:p>
    <w:p w14:paraId="0CF016FA" w14:textId="71AE30E9" w:rsidR="00215160" w:rsidRDefault="00215160" w:rsidP="00215160">
      <w:pPr>
        <w:jc w:val="both"/>
      </w:pPr>
    </w:p>
    <w:p w14:paraId="5FFE4C46" w14:textId="332756BD" w:rsidR="00215160" w:rsidRPr="00215160" w:rsidRDefault="0051109A" w:rsidP="00215160">
      <w:pPr>
        <w:jc w:val="both"/>
        <w:rPr>
          <w:b/>
          <w:bCs/>
        </w:rPr>
      </w:pPr>
      <w:r>
        <w:rPr>
          <w:b/>
          <w:bCs/>
        </w:rPr>
        <w:t>JU</w:t>
      </w:r>
      <w:r w:rsidR="00BB6839">
        <w:rPr>
          <w:b/>
          <w:bCs/>
        </w:rPr>
        <w:t>Á</w:t>
      </w:r>
      <w:r>
        <w:rPr>
          <w:b/>
          <w:bCs/>
        </w:rPr>
        <w:t>N SEBASTIAN G</w:t>
      </w:r>
      <w:r w:rsidR="00BB6839">
        <w:rPr>
          <w:b/>
          <w:bCs/>
        </w:rPr>
        <w:t>Ó</w:t>
      </w:r>
      <w:r w:rsidR="008F54F8">
        <w:rPr>
          <w:b/>
          <w:bCs/>
        </w:rPr>
        <w:t>MEZ</w:t>
      </w:r>
      <w:r>
        <w:rPr>
          <w:b/>
          <w:bCs/>
        </w:rPr>
        <w:t xml:space="preserve"> GONZ</w:t>
      </w:r>
      <w:r w:rsidR="00BB6839">
        <w:rPr>
          <w:b/>
          <w:bCs/>
        </w:rPr>
        <w:t>Á</w:t>
      </w:r>
      <w:r>
        <w:rPr>
          <w:b/>
          <w:bCs/>
        </w:rPr>
        <w:t>LES</w:t>
      </w:r>
    </w:p>
    <w:p w14:paraId="3E19E0B4" w14:textId="4D37253F" w:rsidR="00215160" w:rsidRPr="002C4042" w:rsidRDefault="00BB6839" w:rsidP="00215160">
      <w:pPr>
        <w:jc w:val="both"/>
      </w:pPr>
      <w:r>
        <w:t>Ponente</w:t>
      </w:r>
    </w:p>
    <w:p w14:paraId="7D09970F" w14:textId="73F51C39" w:rsidR="002C4042" w:rsidRPr="002C4042" w:rsidRDefault="002C4042"/>
    <w:p w14:paraId="1D48A7A0" w14:textId="2AB74738" w:rsidR="002C4042" w:rsidRDefault="002C4042"/>
    <w:p w14:paraId="5433EC69" w14:textId="67015368" w:rsidR="00215160" w:rsidRDefault="00215160"/>
    <w:p w14:paraId="38E99FC3" w14:textId="75A2D3A7" w:rsidR="00215160" w:rsidRDefault="00215160"/>
    <w:p w14:paraId="029EA961" w14:textId="1BD49D85" w:rsidR="00215160" w:rsidRDefault="00215160"/>
    <w:p w14:paraId="46ABC266" w14:textId="464D8DAF" w:rsidR="00215160" w:rsidRDefault="00215160"/>
    <w:p w14:paraId="2841491E" w14:textId="6B9ED5DE" w:rsidR="00215160" w:rsidRDefault="00215160"/>
    <w:p w14:paraId="477F9AE9" w14:textId="0566C0D4" w:rsidR="00215160" w:rsidRDefault="00215160"/>
    <w:p w14:paraId="520032DF" w14:textId="6CAC7524" w:rsidR="00215160" w:rsidRDefault="00215160"/>
    <w:p w14:paraId="2F16E801" w14:textId="1CCF4702" w:rsidR="00215160" w:rsidRDefault="00215160"/>
    <w:p w14:paraId="56E3C6A1" w14:textId="7B480373" w:rsidR="00215160" w:rsidRDefault="00215160"/>
    <w:p w14:paraId="14B94160" w14:textId="220DB740" w:rsidR="00215160" w:rsidRDefault="00215160"/>
    <w:p w14:paraId="033BCEA5" w14:textId="287352DB" w:rsidR="00215160" w:rsidRDefault="00215160"/>
    <w:p w14:paraId="6D2526E7" w14:textId="4552703E" w:rsidR="00215160" w:rsidRDefault="00215160"/>
    <w:p w14:paraId="06A8CBF9" w14:textId="2C9A2FB9" w:rsidR="00215160" w:rsidRPr="00893C2B" w:rsidRDefault="00215160" w:rsidP="00215160">
      <w:pPr>
        <w:jc w:val="center"/>
        <w:rPr>
          <w:b/>
          <w:bCs/>
        </w:rPr>
      </w:pPr>
      <w:r w:rsidRPr="00893C2B">
        <w:rPr>
          <w:b/>
          <w:bCs/>
        </w:rPr>
        <w:t xml:space="preserve">PONENCIA PARA </w:t>
      </w:r>
      <w:r w:rsidR="00361D49">
        <w:rPr>
          <w:b/>
          <w:bCs/>
        </w:rPr>
        <w:t>SEGUNDO</w:t>
      </w:r>
      <w:r w:rsidRPr="00893C2B">
        <w:rPr>
          <w:b/>
          <w:bCs/>
        </w:rPr>
        <w:t xml:space="preserve"> DEBATE</w:t>
      </w:r>
    </w:p>
    <w:p w14:paraId="312E5383" w14:textId="77777777" w:rsidR="00BB6839" w:rsidRDefault="00BB6839" w:rsidP="00025724">
      <w:pPr>
        <w:jc w:val="center"/>
        <w:rPr>
          <w:b/>
          <w:bCs/>
        </w:rPr>
      </w:pPr>
    </w:p>
    <w:p w14:paraId="0EA445A9" w14:textId="579CB08F" w:rsidR="00025724" w:rsidRDefault="00025724" w:rsidP="00025724">
      <w:pPr>
        <w:jc w:val="center"/>
        <w:rPr>
          <w:b/>
          <w:bCs/>
        </w:rPr>
      </w:pPr>
      <w:r>
        <w:rPr>
          <w:b/>
          <w:bCs/>
        </w:rPr>
        <w:t>-Pri</w:t>
      </w:r>
      <w:r w:rsidRPr="0051109A">
        <w:rPr>
          <w:b/>
          <w:bCs/>
        </w:rPr>
        <w:t>m</w:t>
      </w:r>
      <w:r>
        <w:rPr>
          <w:b/>
          <w:bCs/>
        </w:rPr>
        <w:t>era Vuelta-</w:t>
      </w:r>
    </w:p>
    <w:p w14:paraId="7783E591" w14:textId="77777777" w:rsidR="00215160" w:rsidRDefault="00215160" w:rsidP="00215160">
      <w:pPr>
        <w:jc w:val="center"/>
        <w:rPr>
          <w:b/>
          <w:bCs/>
        </w:rPr>
      </w:pPr>
    </w:p>
    <w:p w14:paraId="2F0AF3DE" w14:textId="3A3E8241" w:rsidR="00215160" w:rsidRDefault="00215160" w:rsidP="00215160">
      <w:pPr>
        <w:jc w:val="center"/>
        <w:rPr>
          <w:b/>
          <w:bCs/>
        </w:rPr>
      </w:pPr>
      <w:r w:rsidRPr="002C4042">
        <w:rPr>
          <w:b/>
          <w:bCs/>
        </w:rPr>
        <w:t xml:space="preserve">Proyecto de Acto Legislativo Nº </w:t>
      </w:r>
      <w:r w:rsidR="00147EC4">
        <w:rPr>
          <w:b/>
          <w:bCs/>
        </w:rPr>
        <w:t>033</w:t>
      </w:r>
      <w:r w:rsidRPr="002C4042">
        <w:rPr>
          <w:b/>
          <w:bCs/>
        </w:rPr>
        <w:t xml:space="preserve"> de 202</w:t>
      </w:r>
      <w:r w:rsidR="00147EC4">
        <w:rPr>
          <w:b/>
          <w:bCs/>
        </w:rPr>
        <w:t>3</w:t>
      </w:r>
      <w:r w:rsidRPr="002C4042">
        <w:rPr>
          <w:b/>
          <w:bCs/>
        </w:rPr>
        <w:t xml:space="preserve"> Cámara </w:t>
      </w:r>
    </w:p>
    <w:p w14:paraId="3E3717C9" w14:textId="77777777" w:rsidR="006F4FBE" w:rsidRDefault="006F4FBE" w:rsidP="00215160">
      <w:pPr>
        <w:jc w:val="center"/>
        <w:rPr>
          <w:b/>
          <w:bCs/>
        </w:rPr>
      </w:pPr>
    </w:p>
    <w:p w14:paraId="0009062B" w14:textId="687AE34C" w:rsidR="00215160" w:rsidRPr="00BB6839" w:rsidRDefault="00BB6839" w:rsidP="00215160">
      <w:pPr>
        <w:jc w:val="center"/>
        <w:rPr>
          <w:b/>
          <w:bCs/>
        </w:rPr>
      </w:pPr>
      <w:r w:rsidRPr="00BB6839">
        <w:rPr>
          <w:b/>
          <w:bCs/>
        </w:rPr>
        <w:t>Por el cual se otorga la categoría de distrito especial eje del conocimiento al municipio de Manizales en el departamento de Caldas</w:t>
      </w:r>
    </w:p>
    <w:p w14:paraId="1A17064D" w14:textId="77777777" w:rsidR="00215160" w:rsidRPr="002C4042" w:rsidRDefault="00215160" w:rsidP="00215160">
      <w:pPr>
        <w:jc w:val="center"/>
      </w:pPr>
    </w:p>
    <w:p w14:paraId="27B3ACFE" w14:textId="330056AE" w:rsidR="002C4042" w:rsidRPr="002C4042" w:rsidRDefault="002C4042"/>
    <w:p w14:paraId="2F0A12D9" w14:textId="4A3297B2" w:rsidR="002C4042" w:rsidRPr="002B32B3" w:rsidRDefault="00215160" w:rsidP="00215160">
      <w:pPr>
        <w:pStyle w:val="Prrafodelista"/>
        <w:numPr>
          <w:ilvl w:val="0"/>
          <w:numId w:val="3"/>
        </w:numPr>
        <w:rPr>
          <w:b/>
          <w:bCs/>
        </w:rPr>
      </w:pPr>
      <w:r w:rsidRPr="002B32B3">
        <w:rPr>
          <w:b/>
          <w:bCs/>
        </w:rPr>
        <w:t>Objeto:</w:t>
      </w:r>
    </w:p>
    <w:p w14:paraId="11F26A33" w14:textId="15264FA2" w:rsidR="00215160" w:rsidRDefault="00215160" w:rsidP="00215160"/>
    <w:p w14:paraId="79C9C0F5" w14:textId="0C31081B" w:rsidR="00215160" w:rsidRDefault="00215160" w:rsidP="002B32B3">
      <w:pPr>
        <w:jc w:val="both"/>
      </w:pPr>
      <w:r>
        <w:t xml:space="preserve">Elevar la categoría de Manizales a Distrito Especial – Eje del conocimiento –, </w:t>
      </w:r>
      <w:r w:rsidR="002B32B3">
        <w:t xml:space="preserve">con el fin de ofrecer las herramientas constitucionales para </w:t>
      </w:r>
      <w:r w:rsidR="002B32B3" w:rsidRPr="002B32B3">
        <w:t>la promoción y el desarrollo de</w:t>
      </w:r>
      <w:r w:rsidR="002B32B3">
        <w:t xml:space="preserve"> la ciencia, la tecnología y la innovación</w:t>
      </w:r>
      <w:r w:rsidR="002B32B3" w:rsidRPr="002B32B3">
        <w:t>, así como la creación de un fondo de desarrollo distrital</w:t>
      </w:r>
      <w:r w:rsidR="00893C2B">
        <w:t>,</w:t>
      </w:r>
      <w:r w:rsidR="002B32B3" w:rsidRPr="002B32B3">
        <w:t xml:space="preserve"> </w:t>
      </w:r>
      <w:r w:rsidR="00893C2B">
        <w:t xml:space="preserve">de economía mixta u otra figura establecida posteriormente por la ley, </w:t>
      </w:r>
      <w:r w:rsidR="002B32B3" w:rsidRPr="002B32B3">
        <w:t>para el financiamiento de los proyectos de ciencia, tecnología e innovación.</w:t>
      </w:r>
    </w:p>
    <w:p w14:paraId="24985E4D" w14:textId="046679A2" w:rsidR="002B32B3" w:rsidRDefault="002B32B3" w:rsidP="002B32B3">
      <w:pPr>
        <w:jc w:val="both"/>
      </w:pPr>
    </w:p>
    <w:p w14:paraId="1F2C57C6" w14:textId="46FFC575" w:rsidR="00CC6B30" w:rsidRDefault="00CC6B30" w:rsidP="002B32B3">
      <w:pPr>
        <w:pStyle w:val="Prrafodelista"/>
        <w:numPr>
          <w:ilvl w:val="0"/>
          <w:numId w:val="3"/>
        </w:numPr>
        <w:jc w:val="both"/>
        <w:rPr>
          <w:b/>
          <w:bCs/>
        </w:rPr>
      </w:pPr>
      <w:r>
        <w:rPr>
          <w:b/>
          <w:bCs/>
        </w:rPr>
        <w:t>Trámite:</w:t>
      </w:r>
    </w:p>
    <w:p w14:paraId="5D46E242" w14:textId="5BB5289F" w:rsidR="00CC6B30" w:rsidRDefault="00CC6B30" w:rsidP="00CC6B30">
      <w:pPr>
        <w:jc w:val="both"/>
        <w:rPr>
          <w:b/>
          <w:bCs/>
        </w:rPr>
      </w:pPr>
    </w:p>
    <w:p w14:paraId="4FE44928" w14:textId="7877AFBC" w:rsidR="00CC6B30" w:rsidRDefault="00CC6B30" w:rsidP="00CC6B30">
      <w:pPr>
        <w:jc w:val="both"/>
      </w:pPr>
      <w:r>
        <w:t xml:space="preserve">Este proyecto de acto legislativo fue radicado </w:t>
      </w:r>
      <w:r w:rsidR="00D560CA">
        <w:t xml:space="preserve">el día 25 de julio en la secretaría general de la Honorable Cámara de Representantes. Fue publicado en la </w:t>
      </w:r>
      <w:r w:rsidR="00D560CA" w:rsidRPr="00D560CA">
        <w:t>Gaceta N</w:t>
      </w:r>
      <w:r w:rsidR="00D560CA">
        <w:t>º</w:t>
      </w:r>
      <w:r w:rsidR="00D560CA" w:rsidRPr="00D560CA">
        <w:t xml:space="preserve"> 963 de 2023</w:t>
      </w:r>
      <w:r w:rsidR="00D560CA">
        <w:t xml:space="preserve">. Hecho el reparto a la Comisión Primera Constitucional Permanente, la mesa directiva designó como ponente al Representante </w:t>
      </w:r>
      <w:r w:rsidR="00D560CA" w:rsidRPr="00D560CA">
        <w:t>Juan Sebastián Gómez Gonzáles</w:t>
      </w:r>
      <w:r w:rsidR="00D560CA">
        <w:t xml:space="preserve">. El informe de ponencia positiva para primer debate en primera vuelta fue publicado en la Gaceta Nº 1082 de 2023. </w:t>
      </w:r>
    </w:p>
    <w:p w14:paraId="229DC33F" w14:textId="19581CC8" w:rsidR="00D560CA" w:rsidRDefault="00D560CA" w:rsidP="00CC6B30">
      <w:pPr>
        <w:jc w:val="both"/>
      </w:pPr>
    </w:p>
    <w:p w14:paraId="6454F6C7" w14:textId="423ADBEC" w:rsidR="00D560CA" w:rsidRDefault="00D560CA" w:rsidP="00CC6B30">
      <w:pPr>
        <w:jc w:val="both"/>
      </w:pPr>
      <w:r>
        <w:t>La iniciativa se aprobó en primer debate en sesión del día 29 de agosto de 2023 de la Comisión Primera Constitucional Permanente. En la discusión del proyecto, se radicaron dos proposiciones</w:t>
      </w:r>
      <w:r w:rsidR="002F2CB8">
        <w:t>:</w:t>
      </w:r>
    </w:p>
    <w:p w14:paraId="6713C692" w14:textId="7CB5C712" w:rsidR="002F2CB8" w:rsidRDefault="002F2CB8" w:rsidP="00CC6B30">
      <w:pPr>
        <w:jc w:val="both"/>
      </w:pPr>
    </w:p>
    <w:p w14:paraId="64A2FD4A" w14:textId="13E9FBDA" w:rsidR="002F2CB8" w:rsidRDefault="002F2CB8" w:rsidP="002F2CB8">
      <w:pPr>
        <w:jc w:val="both"/>
      </w:pPr>
      <w:r>
        <w:t>La primera, por parte del suscrito ponente, con el fin de atender la solicitud de la Asociación Colombiana de Ciudades Capitales, añadiendo un artículo en el siguiente sentido: División político-administrativa y jurisdicción Distrital. El Distrito Especial de Manizales eje del conocimiento no estará obligado a efectuar ajustes administrativos que aumenten sus costos y podrá mantener la actual división político-administrativa de su jurisdicción. El Concejo Distrital, por iniciativa del Alcalde Distrital, podrá implementar la transformación político-administrativa del territorio, previo análisis financiero, político y territorial. La presente disposición sólo será aplicable al Distrito Especial de Manizales eje del conocimiento.</w:t>
      </w:r>
    </w:p>
    <w:p w14:paraId="126F99F6" w14:textId="5E723BF2" w:rsidR="002F2CB8" w:rsidRDefault="002F2CB8" w:rsidP="002F2CB8">
      <w:pPr>
        <w:jc w:val="both"/>
      </w:pPr>
    </w:p>
    <w:p w14:paraId="5F729AFD" w14:textId="30AF2155" w:rsidR="002F2CB8" w:rsidRDefault="002F2CB8" w:rsidP="002F2CB8">
      <w:pPr>
        <w:jc w:val="both"/>
      </w:pPr>
      <w:r>
        <w:t xml:space="preserve">En segundo lugar, el Representante Juan Carlos Lozada radicó una proposición de eliminación del parágrafo del artículo 356 de la Constitución Política relacionado con la creación de </w:t>
      </w:r>
      <w:r w:rsidRPr="002F2CB8">
        <w:t xml:space="preserve">mecanismos adicionales a los existentes para la promoción y el desarrollo </w:t>
      </w:r>
      <w:r w:rsidRPr="002F2CB8">
        <w:lastRenderedPageBreak/>
        <w:t xml:space="preserve">del Distrito Especial del Conocimiento, así como la creación de un fondo de desarrollo distrital para el financiamiento de los proyectos asociados a la ciencia, la tecnología y la innovación. </w:t>
      </w:r>
    </w:p>
    <w:p w14:paraId="499E7EE3" w14:textId="6076AF77" w:rsidR="002F2CB8" w:rsidRDefault="002F2CB8" w:rsidP="002F2CB8">
      <w:pPr>
        <w:jc w:val="both"/>
      </w:pPr>
    </w:p>
    <w:p w14:paraId="443662BD" w14:textId="2B9A3F26" w:rsidR="002F2CB8" w:rsidRDefault="002F2CB8" w:rsidP="002F2CB8">
      <w:pPr>
        <w:jc w:val="both"/>
      </w:pPr>
      <w:r>
        <w:t>Ambas proposiciones fueron acogidas y aprobadas por la Comisión Primera Constitucional Permanente. De esta forma, el presente informe de ponencia acoge el texto aprobado en primer debate con el fin de que sea considerado por la plenaria de la corporación.</w:t>
      </w:r>
    </w:p>
    <w:p w14:paraId="723E5C87" w14:textId="77777777" w:rsidR="00CC6B30" w:rsidRPr="00CC6B30" w:rsidRDefault="00CC6B30" w:rsidP="00CC6B30">
      <w:pPr>
        <w:jc w:val="both"/>
      </w:pPr>
    </w:p>
    <w:p w14:paraId="6A54DE2B" w14:textId="71427FC3" w:rsidR="002B32B3" w:rsidRPr="002B32B3" w:rsidRDefault="002B32B3" w:rsidP="002B32B3">
      <w:pPr>
        <w:pStyle w:val="Prrafodelista"/>
        <w:numPr>
          <w:ilvl w:val="0"/>
          <w:numId w:val="3"/>
        </w:numPr>
        <w:jc w:val="both"/>
        <w:rPr>
          <w:b/>
          <w:bCs/>
        </w:rPr>
      </w:pPr>
      <w:r w:rsidRPr="002B32B3">
        <w:rPr>
          <w:b/>
          <w:bCs/>
        </w:rPr>
        <w:t>Justificación:</w:t>
      </w:r>
    </w:p>
    <w:p w14:paraId="03745867" w14:textId="2170095D" w:rsidR="002C4042" w:rsidRPr="002C4042" w:rsidRDefault="002C4042"/>
    <w:p w14:paraId="1832F143" w14:textId="683C9AA8" w:rsidR="002C4042" w:rsidRPr="00F846DF" w:rsidRDefault="002C4042" w:rsidP="002C4042">
      <w:pPr>
        <w:jc w:val="both"/>
      </w:pPr>
      <w:r w:rsidRPr="00F846DF">
        <w:t>Existen 3 grandes retos reconocidos por el Proyecto ‘Campus Manizales’</w:t>
      </w:r>
      <w:r w:rsidR="00893C2B" w:rsidRPr="00F846DF">
        <w:t>, que justifican la propuesta de convertir a Manizales en Distrito Especial – Eje del Conocimiento</w:t>
      </w:r>
      <w:r w:rsidRPr="00F846DF">
        <w:t>:</w:t>
      </w:r>
    </w:p>
    <w:p w14:paraId="21E16714" w14:textId="77777777" w:rsidR="002C4042" w:rsidRDefault="002C4042" w:rsidP="002C4042">
      <w:pPr>
        <w:jc w:val="both"/>
      </w:pPr>
    </w:p>
    <w:p w14:paraId="7AC60997" w14:textId="77777777" w:rsidR="00893C2B" w:rsidRDefault="002C4042" w:rsidP="00893C2B">
      <w:pPr>
        <w:pStyle w:val="Prrafodelista"/>
        <w:numPr>
          <w:ilvl w:val="0"/>
          <w:numId w:val="5"/>
        </w:numPr>
        <w:jc w:val="both"/>
      </w:pPr>
      <w:r>
        <w:t>Mejorar la conectividad de la población universitaria con los centros de estudio</w:t>
      </w:r>
      <w:r w:rsidR="002B32B3">
        <w:t>.</w:t>
      </w:r>
      <w:r>
        <w:t xml:space="preserve"> </w:t>
      </w:r>
    </w:p>
    <w:p w14:paraId="43C2DC22" w14:textId="77777777" w:rsidR="00893C2B" w:rsidRDefault="002C4042" w:rsidP="00893C2B">
      <w:pPr>
        <w:pStyle w:val="Prrafodelista"/>
        <w:numPr>
          <w:ilvl w:val="0"/>
          <w:numId w:val="5"/>
        </w:numPr>
        <w:jc w:val="both"/>
      </w:pPr>
      <w:r>
        <w:t>Transformar la movilidad de la ciudad según cánones de sostenibilidad medioambiental.</w:t>
      </w:r>
    </w:p>
    <w:p w14:paraId="09DB0320" w14:textId="530A0DDE" w:rsidR="002C4042" w:rsidRDefault="002C4042" w:rsidP="00893C2B">
      <w:pPr>
        <w:pStyle w:val="Prrafodelista"/>
        <w:numPr>
          <w:ilvl w:val="0"/>
          <w:numId w:val="5"/>
        </w:numPr>
        <w:jc w:val="both"/>
      </w:pPr>
      <w:r>
        <w:t>Transformar el espacio público para mejorar su apropiación por parte de la ciudadanía.</w:t>
      </w:r>
    </w:p>
    <w:p w14:paraId="3213A191" w14:textId="77777777" w:rsidR="002C4042" w:rsidRDefault="002C4042" w:rsidP="002C4042">
      <w:pPr>
        <w:jc w:val="both"/>
      </w:pPr>
    </w:p>
    <w:p w14:paraId="362A0155" w14:textId="77777777" w:rsidR="002C4042" w:rsidRPr="003406C0" w:rsidRDefault="002C4042" w:rsidP="002C4042">
      <w:pPr>
        <w:jc w:val="both"/>
        <w:rPr>
          <w:b/>
          <w:bCs/>
        </w:rPr>
      </w:pPr>
      <w:r w:rsidRPr="003406C0">
        <w:rPr>
          <w:b/>
          <w:bCs/>
        </w:rPr>
        <w:t>Características de Manizales</w:t>
      </w:r>
      <w:r>
        <w:rPr>
          <w:b/>
          <w:bCs/>
        </w:rPr>
        <w:t xml:space="preserve"> en el propósito de elevarla a la categoría de Distrito Especial:</w:t>
      </w:r>
    </w:p>
    <w:p w14:paraId="0481E290" w14:textId="77777777" w:rsidR="002C4042" w:rsidRDefault="002C4042" w:rsidP="002C4042">
      <w:pPr>
        <w:jc w:val="both"/>
      </w:pPr>
    </w:p>
    <w:p w14:paraId="05DD6923" w14:textId="77777777" w:rsidR="002C4042" w:rsidRPr="00866D09" w:rsidRDefault="002C4042" w:rsidP="002C4042">
      <w:pPr>
        <w:pStyle w:val="Prrafodelista"/>
        <w:numPr>
          <w:ilvl w:val="0"/>
          <w:numId w:val="1"/>
        </w:numPr>
        <w:jc w:val="both"/>
        <w:rPr>
          <w:b/>
          <w:bCs/>
        </w:rPr>
      </w:pPr>
      <w:r w:rsidRPr="00866D09">
        <w:rPr>
          <w:b/>
          <w:bCs/>
        </w:rPr>
        <w:t>Educación superior:</w:t>
      </w:r>
    </w:p>
    <w:p w14:paraId="1A170762" w14:textId="77777777" w:rsidR="002C4042" w:rsidRDefault="002C4042" w:rsidP="002C4042">
      <w:pPr>
        <w:jc w:val="both"/>
      </w:pPr>
    </w:p>
    <w:p w14:paraId="0082FFC4" w14:textId="77777777" w:rsidR="002C4042" w:rsidRDefault="002C4042" w:rsidP="002C4042">
      <w:pPr>
        <w:jc w:val="both"/>
      </w:pPr>
      <w:r>
        <w:t xml:space="preserve">La ciudad tiene una </w:t>
      </w:r>
      <w:r w:rsidRPr="0037697E">
        <w:t xml:space="preserve">tasa de cobertura bruta en educación superior del 55,7%, casi dos puntos porcentuales por encima de la tasa nacional, mientras que la tasa de tránsito inmediato a educación superior </w:t>
      </w:r>
      <w:r>
        <w:t>se ubica en e</w:t>
      </w:r>
      <w:r w:rsidRPr="0037697E">
        <w:t>l 36.6%, por debajo del consolidado nacional.</w:t>
      </w:r>
    </w:p>
    <w:p w14:paraId="3C9AA86B" w14:textId="77777777" w:rsidR="002C4042" w:rsidRDefault="002C4042" w:rsidP="002C4042">
      <w:pPr>
        <w:jc w:val="both"/>
      </w:pPr>
    </w:p>
    <w:p w14:paraId="143BDCC7" w14:textId="77777777" w:rsidR="002C4042" w:rsidRPr="009C7668" w:rsidRDefault="002C4042" w:rsidP="002C4042">
      <w:pPr>
        <w:jc w:val="center"/>
        <w:rPr>
          <w:rFonts w:ascii="Arial" w:hAnsi="Arial" w:cs="Arial"/>
          <w:b/>
          <w:iCs/>
          <w:sz w:val="22"/>
          <w:szCs w:val="21"/>
        </w:rPr>
      </w:pPr>
      <w:r w:rsidRPr="009C7668">
        <w:rPr>
          <w:rFonts w:ascii="Arial" w:hAnsi="Arial" w:cs="Arial"/>
          <w:b/>
          <w:iCs/>
          <w:sz w:val="22"/>
          <w:szCs w:val="21"/>
        </w:rPr>
        <w:t>Matrícula de Educación Superior (2015 – 2021)</w:t>
      </w:r>
    </w:p>
    <w:tbl>
      <w:tblPr>
        <w:tblW w:w="0" w:type="auto"/>
        <w:jc w:val="center"/>
        <w:tblCellMar>
          <w:left w:w="70" w:type="dxa"/>
          <w:right w:w="70" w:type="dxa"/>
        </w:tblCellMar>
        <w:tblLook w:val="04A0" w:firstRow="1" w:lastRow="0" w:firstColumn="1" w:lastColumn="0" w:noHBand="0" w:noVBand="1"/>
      </w:tblPr>
      <w:tblGrid>
        <w:gridCol w:w="1708"/>
        <w:gridCol w:w="752"/>
        <w:gridCol w:w="752"/>
        <w:gridCol w:w="752"/>
        <w:gridCol w:w="752"/>
        <w:gridCol w:w="752"/>
        <w:gridCol w:w="752"/>
        <w:gridCol w:w="752"/>
      </w:tblGrid>
      <w:tr w:rsidR="002C4042" w:rsidRPr="00985A2D" w14:paraId="48E0C62F" w14:textId="77777777" w:rsidTr="00165556">
        <w:trPr>
          <w:trHeight w:val="390"/>
          <w:jc w:val="center"/>
        </w:trPr>
        <w:tc>
          <w:tcPr>
            <w:tcW w:w="0" w:type="auto"/>
            <w:tcBorders>
              <w:top w:val="single" w:sz="8" w:space="0" w:color="3366CC"/>
              <w:left w:val="single" w:sz="8" w:space="0" w:color="3366CC"/>
              <w:bottom w:val="single" w:sz="8" w:space="0" w:color="3366CC"/>
              <w:right w:val="single" w:sz="8" w:space="0" w:color="3366CC"/>
            </w:tcBorders>
            <w:shd w:val="clear" w:color="000000" w:fill="DDEBF7"/>
            <w:noWrap/>
            <w:vAlign w:val="center"/>
            <w:hideMark/>
          </w:tcPr>
          <w:p w14:paraId="57917D4E"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Nivel académico</w:t>
            </w:r>
          </w:p>
        </w:tc>
        <w:tc>
          <w:tcPr>
            <w:tcW w:w="0" w:type="auto"/>
            <w:tcBorders>
              <w:top w:val="single" w:sz="8" w:space="0" w:color="3366CC"/>
              <w:left w:val="nil"/>
              <w:bottom w:val="single" w:sz="8" w:space="0" w:color="3366CC"/>
              <w:right w:val="nil"/>
            </w:tcBorders>
            <w:shd w:val="clear" w:color="000000" w:fill="DDEBF7"/>
            <w:noWrap/>
            <w:vAlign w:val="center"/>
            <w:hideMark/>
          </w:tcPr>
          <w:p w14:paraId="03811053"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2015</w:t>
            </w:r>
          </w:p>
        </w:tc>
        <w:tc>
          <w:tcPr>
            <w:tcW w:w="0" w:type="auto"/>
            <w:tcBorders>
              <w:top w:val="single" w:sz="8" w:space="0" w:color="3366CC"/>
              <w:left w:val="nil"/>
              <w:bottom w:val="single" w:sz="8" w:space="0" w:color="3366CC"/>
              <w:right w:val="nil"/>
            </w:tcBorders>
            <w:shd w:val="clear" w:color="000000" w:fill="DDEBF7"/>
            <w:vAlign w:val="center"/>
            <w:hideMark/>
          </w:tcPr>
          <w:p w14:paraId="095C04B7"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2016</w:t>
            </w:r>
          </w:p>
        </w:tc>
        <w:tc>
          <w:tcPr>
            <w:tcW w:w="0" w:type="auto"/>
            <w:tcBorders>
              <w:top w:val="single" w:sz="8" w:space="0" w:color="3366CC"/>
              <w:left w:val="nil"/>
              <w:bottom w:val="single" w:sz="8" w:space="0" w:color="3366CC"/>
              <w:right w:val="nil"/>
            </w:tcBorders>
            <w:shd w:val="clear" w:color="000000" w:fill="DDEBF7"/>
            <w:vAlign w:val="center"/>
            <w:hideMark/>
          </w:tcPr>
          <w:p w14:paraId="2A2D9BAD"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2017</w:t>
            </w:r>
          </w:p>
        </w:tc>
        <w:tc>
          <w:tcPr>
            <w:tcW w:w="0" w:type="auto"/>
            <w:tcBorders>
              <w:top w:val="single" w:sz="8" w:space="0" w:color="3366CC"/>
              <w:left w:val="nil"/>
              <w:bottom w:val="single" w:sz="8" w:space="0" w:color="3366CC"/>
              <w:right w:val="nil"/>
            </w:tcBorders>
            <w:shd w:val="clear" w:color="000000" w:fill="DDEBF7"/>
            <w:vAlign w:val="center"/>
            <w:hideMark/>
          </w:tcPr>
          <w:p w14:paraId="32BA025B"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2018</w:t>
            </w:r>
          </w:p>
        </w:tc>
        <w:tc>
          <w:tcPr>
            <w:tcW w:w="0" w:type="auto"/>
            <w:tcBorders>
              <w:top w:val="single" w:sz="8" w:space="0" w:color="3366CC"/>
              <w:left w:val="single" w:sz="4" w:space="0" w:color="808080"/>
              <w:bottom w:val="single" w:sz="8" w:space="0" w:color="3366CC"/>
              <w:right w:val="single" w:sz="4" w:space="0" w:color="808080"/>
            </w:tcBorders>
            <w:shd w:val="clear" w:color="000000" w:fill="DDEBF7"/>
            <w:vAlign w:val="center"/>
            <w:hideMark/>
          </w:tcPr>
          <w:p w14:paraId="24F933FA"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2019</w:t>
            </w:r>
          </w:p>
        </w:tc>
        <w:tc>
          <w:tcPr>
            <w:tcW w:w="0" w:type="auto"/>
            <w:tcBorders>
              <w:top w:val="single" w:sz="8" w:space="0" w:color="3366CC"/>
              <w:left w:val="nil"/>
              <w:bottom w:val="single" w:sz="8" w:space="0" w:color="3366CC"/>
              <w:right w:val="single" w:sz="4" w:space="0" w:color="808080"/>
            </w:tcBorders>
            <w:shd w:val="clear" w:color="000000" w:fill="DDEBF7"/>
            <w:vAlign w:val="center"/>
            <w:hideMark/>
          </w:tcPr>
          <w:p w14:paraId="074BCC46"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2020</w:t>
            </w:r>
          </w:p>
        </w:tc>
        <w:tc>
          <w:tcPr>
            <w:tcW w:w="0" w:type="auto"/>
            <w:tcBorders>
              <w:top w:val="single" w:sz="8" w:space="0" w:color="3366CC"/>
              <w:left w:val="nil"/>
              <w:bottom w:val="single" w:sz="8" w:space="0" w:color="3366CC"/>
              <w:right w:val="single" w:sz="8" w:space="0" w:color="3366CC"/>
            </w:tcBorders>
            <w:shd w:val="clear" w:color="000000" w:fill="DDEBF7"/>
            <w:vAlign w:val="center"/>
            <w:hideMark/>
          </w:tcPr>
          <w:p w14:paraId="01E853BA"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2021</w:t>
            </w:r>
          </w:p>
        </w:tc>
      </w:tr>
      <w:tr w:rsidR="002C4042" w:rsidRPr="00985A2D" w14:paraId="10E47134" w14:textId="77777777" w:rsidTr="00165556">
        <w:trPr>
          <w:trHeight w:val="375"/>
          <w:jc w:val="center"/>
        </w:trPr>
        <w:tc>
          <w:tcPr>
            <w:tcW w:w="0" w:type="auto"/>
            <w:tcBorders>
              <w:top w:val="single" w:sz="8" w:space="0" w:color="3366CC"/>
              <w:left w:val="single" w:sz="8" w:space="0" w:color="3366CC"/>
              <w:bottom w:val="single" w:sz="4" w:space="0" w:color="808080"/>
              <w:right w:val="single" w:sz="8" w:space="0" w:color="3366CC"/>
            </w:tcBorders>
            <w:shd w:val="clear" w:color="auto" w:fill="auto"/>
            <w:noWrap/>
            <w:vAlign w:val="center"/>
            <w:hideMark/>
          </w:tcPr>
          <w:p w14:paraId="721FDB14"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Pregrado</w:t>
            </w:r>
          </w:p>
        </w:tc>
        <w:tc>
          <w:tcPr>
            <w:tcW w:w="0" w:type="auto"/>
            <w:tcBorders>
              <w:top w:val="nil"/>
              <w:left w:val="nil"/>
              <w:bottom w:val="single" w:sz="4" w:space="0" w:color="808080"/>
              <w:right w:val="single" w:sz="4" w:space="0" w:color="808080"/>
            </w:tcBorders>
            <w:shd w:val="clear" w:color="auto" w:fill="auto"/>
            <w:noWrap/>
            <w:vAlign w:val="center"/>
            <w:hideMark/>
          </w:tcPr>
          <w:p w14:paraId="4B249596"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41.727</w:t>
            </w:r>
          </w:p>
        </w:tc>
        <w:tc>
          <w:tcPr>
            <w:tcW w:w="0" w:type="auto"/>
            <w:tcBorders>
              <w:top w:val="nil"/>
              <w:left w:val="nil"/>
              <w:bottom w:val="single" w:sz="4" w:space="0" w:color="808080"/>
              <w:right w:val="single" w:sz="4" w:space="0" w:color="808080"/>
            </w:tcBorders>
            <w:shd w:val="clear" w:color="auto" w:fill="auto"/>
            <w:noWrap/>
            <w:vAlign w:val="center"/>
            <w:hideMark/>
          </w:tcPr>
          <w:p w14:paraId="558B7721"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44.326</w:t>
            </w:r>
          </w:p>
        </w:tc>
        <w:tc>
          <w:tcPr>
            <w:tcW w:w="0" w:type="auto"/>
            <w:tcBorders>
              <w:top w:val="nil"/>
              <w:left w:val="nil"/>
              <w:bottom w:val="single" w:sz="4" w:space="0" w:color="808080"/>
              <w:right w:val="single" w:sz="4" w:space="0" w:color="808080"/>
            </w:tcBorders>
            <w:shd w:val="clear" w:color="auto" w:fill="auto"/>
            <w:noWrap/>
            <w:vAlign w:val="center"/>
            <w:hideMark/>
          </w:tcPr>
          <w:p w14:paraId="62660C72"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44.464</w:t>
            </w:r>
          </w:p>
        </w:tc>
        <w:tc>
          <w:tcPr>
            <w:tcW w:w="0" w:type="auto"/>
            <w:tcBorders>
              <w:top w:val="nil"/>
              <w:left w:val="nil"/>
              <w:bottom w:val="single" w:sz="4" w:space="0" w:color="808080"/>
              <w:right w:val="nil"/>
            </w:tcBorders>
            <w:shd w:val="clear" w:color="auto" w:fill="auto"/>
            <w:noWrap/>
            <w:vAlign w:val="center"/>
            <w:hideMark/>
          </w:tcPr>
          <w:p w14:paraId="7FF85AFC"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45.407</w:t>
            </w:r>
          </w:p>
        </w:tc>
        <w:tc>
          <w:tcPr>
            <w:tcW w:w="0" w:type="auto"/>
            <w:tcBorders>
              <w:top w:val="nil"/>
              <w:left w:val="single" w:sz="4" w:space="0" w:color="808080"/>
              <w:bottom w:val="single" w:sz="4" w:space="0" w:color="808080"/>
              <w:right w:val="nil"/>
            </w:tcBorders>
            <w:shd w:val="clear" w:color="auto" w:fill="auto"/>
            <w:noWrap/>
            <w:vAlign w:val="center"/>
            <w:hideMark/>
          </w:tcPr>
          <w:p w14:paraId="75C77320"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44.542</w:t>
            </w:r>
          </w:p>
        </w:tc>
        <w:tc>
          <w:tcPr>
            <w:tcW w:w="0" w:type="auto"/>
            <w:tcBorders>
              <w:top w:val="nil"/>
              <w:left w:val="single" w:sz="4" w:space="0" w:color="808080"/>
              <w:bottom w:val="single" w:sz="4" w:space="0" w:color="808080"/>
              <w:right w:val="nil"/>
            </w:tcBorders>
            <w:shd w:val="clear" w:color="auto" w:fill="auto"/>
            <w:noWrap/>
            <w:vAlign w:val="center"/>
            <w:hideMark/>
          </w:tcPr>
          <w:p w14:paraId="7F987CF2"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44.147</w:t>
            </w:r>
          </w:p>
        </w:tc>
        <w:tc>
          <w:tcPr>
            <w:tcW w:w="0" w:type="auto"/>
            <w:tcBorders>
              <w:top w:val="nil"/>
              <w:left w:val="single" w:sz="4" w:space="0" w:color="808080"/>
              <w:bottom w:val="single" w:sz="4" w:space="0" w:color="808080"/>
              <w:right w:val="single" w:sz="8" w:space="0" w:color="3366CC"/>
            </w:tcBorders>
            <w:shd w:val="clear" w:color="auto" w:fill="auto"/>
            <w:noWrap/>
            <w:vAlign w:val="center"/>
            <w:hideMark/>
          </w:tcPr>
          <w:p w14:paraId="17FE4687"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41.764</w:t>
            </w:r>
          </w:p>
        </w:tc>
      </w:tr>
      <w:tr w:rsidR="002C4042" w:rsidRPr="00985A2D" w14:paraId="27FDECD5" w14:textId="77777777" w:rsidTr="00165556">
        <w:trPr>
          <w:trHeight w:val="375"/>
          <w:jc w:val="center"/>
        </w:trPr>
        <w:tc>
          <w:tcPr>
            <w:tcW w:w="0" w:type="auto"/>
            <w:tcBorders>
              <w:top w:val="single" w:sz="4" w:space="0" w:color="808080"/>
              <w:left w:val="single" w:sz="8" w:space="0" w:color="3366CC"/>
              <w:bottom w:val="single" w:sz="4" w:space="0" w:color="808080"/>
              <w:right w:val="single" w:sz="8" w:space="0" w:color="3366CC"/>
            </w:tcBorders>
            <w:shd w:val="clear" w:color="auto" w:fill="auto"/>
            <w:noWrap/>
            <w:vAlign w:val="center"/>
            <w:hideMark/>
          </w:tcPr>
          <w:p w14:paraId="26D7884C"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Posgrado</w:t>
            </w:r>
          </w:p>
        </w:tc>
        <w:tc>
          <w:tcPr>
            <w:tcW w:w="0" w:type="auto"/>
            <w:tcBorders>
              <w:top w:val="nil"/>
              <w:left w:val="nil"/>
              <w:bottom w:val="single" w:sz="4" w:space="0" w:color="808080"/>
              <w:right w:val="single" w:sz="4" w:space="0" w:color="808080"/>
            </w:tcBorders>
            <w:shd w:val="clear" w:color="auto" w:fill="auto"/>
            <w:noWrap/>
            <w:vAlign w:val="center"/>
            <w:hideMark/>
          </w:tcPr>
          <w:p w14:paraId="35948C20"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4.864</w:t>
            </w:r>
          </w:p>
        </w:tc>
        <w:tc>
          <w:tcPr>
            <w:tcW w:w="0" w:type="auto"/>
            <w:tcBorders>
              <w:top w:val="nil"/>
              <w:left w:val="nil"/>
              <w:bottom w:val="single" w:sz="4" w:space="0" w:color="808080"/>
              <w:right w:val="single" w:sz="4" w:space="0" w:color="808080"/>
            </w:tcBorders>
            <w:shd w:val="clear" w:color="auto" w:fill="auto"/>
            <w:noWrap/>
            <w:vAlign w:val="center"/>
            <w:hideMark/>
          </w:tcPr>
          <w:p w14:paraId="1ED06A2A"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5.159</w:t>
            </w:r>
          </w:p>
        </w:tc>
        <w:tc>
          <w:tcPr>
            <w:tcW w:w="0" w:type="auto"/>
            <w:tcBorders>
              <w:top w:val="nil"/>
              <w:left w:val="nil"/>
              <w:bottom w:val="single" w:sz="4" w:space="0" w:color="808080"/>
              <w:right w:val="single" w:sz="4" w:space="0" w:color="808080"/>
            </w:tcBorders>
            <w:shd w:val="clear" w:color="auto" w:fill="auto"/>
            <w:noWrap/>
            <w:vAlign w:val="center"/>
            <w:hideMark/>
          </w:tcPr>
          <w:p w14:paraId="3C858C20"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5.693</w:t>
            </w:r>
          </w:p>
        </w:tc>
        <w:tc>
          <w:tcPr>
            <w:tcW w:w="0" w:type="auto"/>
            <w:tcBorders>
              <w:top w:val="nil"/>
              <w:left w:val="nil"/>
              <w:bottom w:val="single" w:sz="4" w:space="0" w:color="808080"/>
              <w:right w:val="nil"/>
            </w:tcBorders>
            <w:shd w:val="clear" w:color="auto" w:fill="auto"/>
            <w:noWrap/>
            <w:vAlign w:val="center"/>
            <w:hideMark/>
          </w:tcPr>
          <w:p w14:paraId="6A5D6A4F"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5.863</w:t>
            </w:r>
          </w:p>
        </w:tc>
        <w:tc>
          <w:tcPr>
            <w:tcW w:w="0" w:type="auto"/>
            <w:tcBorders>
              <w:top w:val="nil"/>
              <w:left w:val="single" w:sz="4" w:space="0" w:color="808080"/>
              <w:bottom w:val="single" w:sz="4" w:space="0" w:color="808080"/>
              <w:right w:val="nil"/>
            </w:tcBorders>
            <w:shd w:val="clear" w:color="auto" w:fill="auto"/>
            <w:noWrap/>
            <w:vAlign w:val="center"/>
            <w:hideMark/>
          </w:tcPr>
          <w:p w14:paraId="1CC44BDE"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6.038</w:t>
            </w:r>
          </w:p>
        </w:tc>
        <w:tc>
          <w:tcPr>
            <w:tcW w:w="0" w:type="auto"/>
            <w:tcBorders>
              <w:top w:val="nil"/>
              <w:left w:val="single" w:sz="4" w:space="0" w:color="808080"/>
              <w:bottom w:val="single" w:sz="4" w:space="0" w:color="808080"/>
              <w:right w:val="nil"/>
            </w:tcBorders>
            <w:shd w:val="clear" w:color="auto" w:fill="auto"/>
            <w:noWrap/>
            <w:vAlign w:val="center"/>
            <w:hideMark/>
          </w:tcPr>
          <w:p w14:paraId="319F3E18"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5.463</w:t>
            </w:r>
          </w:p>
        </w:tc>
        <w:tc>
          <w:tcPr>
            <w:tcW w:w="0" w:type="auto"/>
            <w:tcBorders>
              <w:top w:val="nil"/>
              <w:left w:val="single" w:sz="4" w:space="0" w:color="808080"/>
              <w:bottom w:val="single" w:sz="4" w:space="0" w:color="808080"/>
              <w:right w:val="single" w:sz="8" w:space="0" w:color="3366CC"/>
            </w:tcBorders>
            <w:shd w:val="clear" w:color="auto" w:fill="auto"/>
            <w:noWrap/>
            <w:vAlign w:val="center"/>
            <w:hideMark/>
          </w:tcPr>
          <w:p w14:paraId="451DEC45" w14:textId="77777777" w:rsidR="002C4042" w:rsidRPr="00985A2D" w:rsidRDefault="002C4042" w:rsidP="00165556">
            <w:pPr>
              <w:rPr>
                <w:rFonts w:ascii="Arial" w:eastAsia="Times New Roman" w:hAnsi="Arial" w:cs="Arial"/>
                <w:color w:val="000000"/>
                <w:sz w:val="20"/>
                <w:szCs w:val="20"/>
                <w:lang w:eastAsia="es-CO"/>
              </w:rPr>
            </w:pPr>
            <w:r w:rsidRPr="00985A2D">
              <w:rPr>
                <w:rFonts w:ascii="Arial" w:eastAsia="Times New Roman" w:hAnsi="Arial" w:cs="Arial"/>
                <w:color w:val="000000"/>
                <w:sz w:val="20"/>
                <w:szCs w:val="20"/>
                <w:lang w:eastAsia="es-CO"/>
              </w:rPr>
              <w:t>4.707</w:t>
            </w:r>
          </w:p>
        </w:tc>
      </w:tr>
      <w:tr w:rsidR="002C4042" w:rsidRPr="00985A2D" w14:paraId="5D536DC7" w14:textId="77777777" w:rsidTr="00165556">
        <w:trPr>
          <w:trHeight w:val="390"/>
          <w:jc w:val="center"/>
        </w:trPr>
        <w:tc>
          <w:tcPr>
            <w:tcW w:w="0" w:type="auto"/>
            <w:tcBorders>
              <w:top w:val="single" w:sz="4" w:space="0" w:color="808080"/>
              <w:left w:val="single" w:sz="8" w:space="0" w:color="3366CC"/>
              <w:bottom w:val="single" w:sz="8" w:space="0" w:color="3366CC"/>
              <w:right w:val="single" w:sz="8" w:space="0" w:color="3366CC"/>
            </w:tcBorders>
            <w:shd w:val="clear" w:color="000000" w:fill="DDEBF7"/>
            <w:noWrap/>
            <w:vAlign w:val="center"/>
            <w:hideMark/>
          </w:tcPr>
          <w:p w14:paraId="53737215"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Total General</w:t>
            </w:r>
          </w:p>
        </w:tc>
        <w:tc>
          <w:tcPr>
            <w:tcW w:w="0" w:type="auto"/>
            <w:tcBorders>
              <w:top w:val="nil"/>
              <w:left w:val="nil"/>
              <w:bottom w:val="single" w:sz="8" w:space="0" w:color="3366CC"/>
              <w:right w:val="single" w:sz="4" w:space="0" w:color="808080"/>
            </w:tcBorders>
            <w:shd w:val="clear" w:color="000000" w:fill="DDEBF7"/>
            <w:noWrap/>
            <w:vAlign w:val="center"/>
            <w:hideMark/>
          </w:tcPr>
          <w:p w14:paraId="0EEC6D25"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46.591</w:t>
            </w:r>
          </w:p>
        </w:tc>
        <w:tc>
          <w:tcPr>
            <w:tcW w:w="0" w:type="auto"/>
            <w:tcBorders>
              <w:top w:val="nil"/>
              <w:left w:val="nil"/>
              <w:bottom w:val="single" w:sz="8" w:space="0" w:color="3366CC"/>
              <w:right w:val="single" w:sz="4" w:space="0" w:color="808080"/>
            </w:tcBorders>
            <w:shd w:val="clear" w:color="000000" w:fill="DDEBF7"/>
            <w:noWrap/>
            <w:vAlign w:val="center"/>
            <w:hideMark/>
          </w:tcPr>
          <w:p w14:paraId="1F23CBEE"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49.485</w:t>
            </w:r>
          </w:p>
        </w:tc>
        <w:tc>
          <w:tcPr>
            <w:tcW w:w="0" w:type="auto"/>
            <w:tcBorders>
              <w:top w:val="nil"/>
              <w:left w:val="nil"/>
              <w:bottom w:val="single" w:sz="8" w:space="0" w:color="3366CC"/>
              <w:right w:val="single" w:sz="4" w:space="0" w:color="808080"/>
            </w:tcBorders>
            <w:shd w:val="clear" w:color="000000" w:fill="DDEBF7"/>
            <w:noWrap/>
            <w:vAlign w:val="center"/>
            <w:hideMark/>
          </w:tcPr>
          <w:p w14:paraId="3B5338BC"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50.157</w:t>
            </w:r>
          </w:p>
        </w:tc>
        <w:tc>
          <w:tcPr>
            <w:tcW w:w="0" w:type="auto"/>
            <w:tcBorders>
              <w:top w:val="nil"/>
              <w:left w:val="nil"/>
              <w:bottom w:val="single" w:sz="8" w:space="0" w:color="3366CC"/>
              <w:right w:val="nil"/>
            </w:tcBorders>
            <w:shd w:val="clear" w:color="000000" w:fill="DDEBF7"/>
            <w:noWrap/>
            <w:vAlign w:val="center"/>
            <w:hideMark/>
          </w:tcPr>
          <w:p w14:paraId="02B464E2"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51.270</w:t>
            </w:r>
          </w:p>
        </w:tc>
        <w:tc>
          <w:tcPr>
            <w:tcW w:w="0" w:type="auto"/>
            <w:tcBorders>
              <w:top w:val="nil"/>
              <w:left w:val="single" w:sz="4" w:space="0" w:color="808080"/>
              <w:bottom w:val="single" w:sz="8" w:space="0" w:color="3366CC"/>
              <w:right w:val="nil"/>
            </w:tcBorders>
            <w:shd w:val="clear" w:color="000000" w:fill="DDEBF7"/>
            <w:noWrap/>
            <w:vAlign w:val="center"/>
            <w:hideMark/>
          </w:tcPr>
          <w:p w14:paraId="5D8EEABF"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50.580</w:t>
            </w:r>
          </w:p>
        </w:tc>
        <w:tc>
          <w:tcPr>
            <w:tcW w:w="0" w:type="auto"/>
            <w:tcBorders>
              <w:top w:val="nil"/>
              <w:left w:val="single" w:sz="4" w:space="0" w:color="808080"/>
              <w:bottom w:val="single" w:sz="8" w:space="0" w:color="3366CC"/>
              <w:right w:val="nil"/>
            </w:tcBorders>
            <w:shd w:val="clear" w:color="000000" w:fill="DDEBF7"/>
            <w:noWrap/>
            <w:vAlign w:val="center"/>
            <w:hideMark/>
          </w:tcPr>
          <w:p w14:paraId="4ED08784"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49.610</w:t>
            </w:r>
          </w:p>
        </w:tc>
        <w:tc>
          <w:tcPr>
            <w:tcW w:w="0" w:type="auto"/>
            <w:tcBorders>
              <w:top w:val="nil"/>
              <w:left w:val="single" w:sz="4" w:space="0" w:color="808080"/>
              <w:bottom w:val="single" w:sz="8" w:space="0" w:color="3366CC"/>
              <w:right w:val="single" w:sz="8" w:space="0" w:color="3366CC"/>
            </w:tcBorders>
            <w:shd w:val="clear" w:color="000000" w:fill="DDEBF7"/>
            <w:noWrap/>
            <w:vAlign w:val="center"/>
            <w:hideMark/>
          </w:tcPr>
          <w:p w14:paraId="30EBB389" w14:textId="77777777" w:rsidR="002C4042" w:rsidRPr="00985A2D" w:rsidRDefault="002C4042" w:rsidP="00165556">
            <w:pPr>
              <w:rPr>
                <w:rFonts w:ascii="Arial" w:eastAsia="Times New Roman" w:hAnsi="Arial" w:cs="Arial"/>
                <w:b/>
                <w:bCs/>
                <w:color w:val="000000"/>
                <w:sz w:val="20"/>
                <w:szCs w:val="20"/>
                <w:lang w:eastAsia="es-CO"/>
              </w:rPr>
            </w:pPr>
            <w:r w:rsidRPr="00985A2D">
              <w:rPr>
                <w:rFonts w:ascii="Arial" w:eastAsia="Times New Roman" w:hAnsi="Arial" w:cs="Arial"/>
                <w:b/>
                <w:bCs/>
                <w:color w:val="000000"/>
                <w:sz w:val="20"/>
                <w:szCs w:val="20"/>
                <w:lang w:eastAsia="es-CO"/>
              </w:rPr>
              <w:t>46.471</w:t>
            </w:r>
          </w:p>
        </w:tc>
      </w:tr>
    </w:tbl>
    <w:p w14:paraId="64A7516B" w14:textId="77777777" w:rsidR="002C4042" w:rsidRPr="00985A2D" w:rsidRDefault="002C4042" w:rsidP="002C4042">
      <w:pPr>
        <w:jc w:val="center"/>
        <w:rPr>
          <w:rStyle w:val="Referenciasutil"/>
          <w:rFonts w:ascii="Arial" w:hAnsi="Arial" w:cs="Arial"/>
          <w:sz w:val="16"/>
          <w:szCs w:val="16"/>
        </w:rPr>
      </w:pPr>
      <w:r w:rsidRPr="00985A2D">
        <w:rPr>
          <w:rStyle w:val="Referenciasutil"/>
          <w:rFonts w:ascii="Arial" w:hAnsi="Arial" w:cs="Arial"/>
          <w:sz w:val="16"/>
          <w:szCs w:val="16"/>
        </w:rPr>
        <w:t>Fuente: MEN (SNIES)</w:t>
      </w:r>
    </w:p>
    <w:p w14:paraId="01EB65D1" w14:textId="77777777" w:rsidR="002C4042" w:rsidRDefault="002C4042" w:rsidP="002C4042">
      <w:pPr>
        <w:jc w:val="both"/>
      </w:pPr>
    </w:p>
    <w:p w14:paraId="3EADC4A3" w14:textId="77777777" w:rsidR="002C4042" w:rsidRDefault="002C4042" w:rsidP="002C4042">
      <w:pPr>
        <w:jc w:val="both"/>
      </w:pPr>
      <w:r>
        <w:t>L</w:t>
      </w:r>
      <w:r w:rsidRPr="000C6F74">
        <w:t>a ciudad es un destino importante para estudiantes de Nariño, Risaralda</w:t>
      </w:r>
      <w:r>
        <w:t xml:space="preserve">, </w:t>
      </w:r>
      <w:r w:rsidRPr="000C6F74">
        <w:t>Valle del Cauca</w:t>
      </w:r>
      <w:r>
        <w:t xml:space="preserve"> y Tolima</w:t>
      </w:r>
      <w:r w:rsidRPr="000C6F74">
        <w:t xml:space="preserve">, especialmente. Estos </w:t>
      </w:r>
      <w:r>
        <w:t>cuatro</w:t>
      </w:r>
      <w:r w:rsidRPr="000C6F74">
        <w:t xml:space="preserve"> departamentos participan con casi el </w:t>
      </w:r>
      <w:r>
        <w:t>6</w:t>
      </w:r>
      <w:r w:rsidRPr="000C6F74">
        <w:t>0% de la matrícula foránea.</w:t>
      </w:r>
    </w:p>
    <w:p w14:paraId="2B5D8686" w14:textId="77777777" w:rsidR="002C4042" w:rsidRDefault="002C4042" w:rsidP="002C4042">
      <w:pPr>
        <w:jc w:val="both"/>
      </w:pPr>
    </w:p>
    <w:p w14:paraId="3DFE7CF9" w14:textId="77777777" w:rsidR="002C4042" w:rsidRDefault="002C4042" w:rsidP="002C4042">
      <w:pPr>
        <w:jc w:val="both"/>
      </w:pPr>
      <w:r>
        <w:t xml:space="preserve">El departamento no solo se destaca por su vocación universitaria, sino también por brindar diversas oportunidades de formación a la población que opta por continuar con educación terciaria. </w:t>
      </w:r>
    </w:p>
    <w:p w14:paraId="670D426F" w14:textId="77777777" w:rsidR="002C4042" w:rsidRDefault="002C4042" w:rsidP="002C4042">
      <w:pPr>
        <w:jc w:val="both"/>
      </w:pPr>
    </w:p>
    <w:p w14:paraId="02BA7E56" w14:textId="77777777" w:rsidR="002C4042" w:rsidRDefault="002C4042" w:rsidP="002C4042">
      <w:pPr>
        <w:jc w:val="both"/>
      </w:pPr>
      <w:r>
        <w:t>La distribución muestra que, en el año 2021, en Caldas, de cada 100 estudiantes de educación superior, 69 fueron universitarios, 21 cursaron educación técnica o tecnológica y 10 cursaron un posgrado. Vale la pena mencionar que esta composición tiene una tendencia estructural con muy poca variación entre años.</w:t>
      </w:r>
    </w:p>
    <w:p w14:paraId="478D4CD5" w14:textId="77777777" w:rsidR="002C4042" w:rsidRDefault="002C4042" w:rsidP="002C4042">
      <w:pPr>
        <w:jc w:val="both"/>
      </w:pPr>
    </w:p>
    <w:p w14:paraId="12C96BF0" w14:textId="77777777" w:rsidR="002C4042" w:rsidRDefault="002C4042" w:rsidP="002C4042">
      <w:pPr>
        <w:jc w:val="both"/>
      </w:pPr>
      <w:r w:rsidRPr="00B46888">
        <w:t>El departamento anualmente logra graduar un promedio de 10.500 estudiantes en todos los niveles de formación, reflejo de la vocación universitaria de la capital</w:t>
      </w:r>
      <w:r>
        <w:t xml:space="preserve"> del departamento</w:t>
      </w:r>
      <w:r w:rsidRPr="00B46888">
        <w:t>. El 75.5% de los graduados lo hicieron en pregrado y el 24.5% corresponde a graduados de posgrado.</w:t>
      </w:r>
    </w:p>
    <w:p w14:paraId="543E9786" w14:textId="77777777" w:rsidR="002C4042" w:rsidRDefault="002C4042" w:rsidP="002C4042">
      <w:pPr>
        <w:jc w:val="both"/>
      </w:pPr>
    </w:p>
    <w:p w14:paraId="0047D882" w14:textId="77777777" w:rsidR="002C4042" w:rsidRPr="00866D09" w:rsidRDefault="002C4042" w:rsidP="002C4042">
      <w:pPr>
        <w:pStyle w:val="Prrafodelista"/>
        <w:numPr>
          <w:ilvl w:val="0"/>
          <w:numId w:val="1"/>
        </w:numPr>
        <w:jc w:val="both"/>
        <w:rPr>
          <w:b/>
          <w:bCs/>
        </w:rPr>
      </w:pPr>
      <w:r w:rsidRPr="00866D09">
        <w:rPr>
          <w:b/>
          <w:bCs/>
        </w:rPr>
        <w:t>Mercado laboral:</w:t>
      </w:r>
    </w:p>
    <w:p w14:paraId="5F49AB1F" w14:textId="77777777" w:rsidR="002C4042" w:rsidRDefault="002C4042" w:rsidP="002C4042">
      <w:pPr>
        <w:jc w:val="both"/>
      </w:pPr>
    </w:p>
    <w:p w14:paraId="2836B16F" w14:textId="77777777" w:rsidR="002C4042" w:rsidRDefault="002C4042" w:rsidP="002C4042">
      <w:pPr>
        <w:jc w:val="both"/>
      </w:pPr>
      <w:r w:rsidRPr="00B4603E">
        <w:t>El Departamento ha dado pasos importantes en aumentar el nivel de formación de su sociedad, logrando que la población económicamente activa aumente la proporción de personas con niveles de educación superior o universitaria en la última década.</w:t>
      </w:r>
    </w:p>
    <w:p w14:paraId="5541CA23" w14:textId="77777777" w:rsidR="002C4042" w:rsidRDefault="002C4042" w:rsidP="002C4042">
      <w:pPr>
        <w:jc w:val="both"/>
      </w:pPr>
    </w:p>
    <w:p w14:paraId="57F4803F" w14:textId="77777777" w:rsidR="002C4042" w:rsidRDefault="002C4042" w:rsidP="002C4042">
      <w:pPr>
        <w:jc w:val="both"/>
      </w:pPr>
      <w:r>
        <w:t>La tasa de vinculación al mercado laboral de recién graduados supera el 72% para graduados de programas de pregrado y sube progresivamente para graduados con especialización (87,6%), maestría (93,7%) y doctorado (96,7%). Sin embargo, para los tecnólogos es apenas del 56,7% y para los técnicos profesionales del 16,8%, según cifras de 2021.</w:t>
      </w:r>
    </w:p>
    <w:p w14:paraId="59E8E16E" w14:textId="77777777" w:rsidR="002C4042" w:rsidRDefault="002C4042" w:rsidP="002C4042">
      <w:pPr>
        <w:jc w:val="both"/>
      </w:pPr>
    </w:p>
    <w:p w14:paraId="561D0C0E" w14:textId="77777777" w:rsidR="002C4042" w:rsidRPr="009C7668" w:rsidRDefault="002C4042" w:rsidP="002C4042">
      <w:pPr>
        <w:jc w:val="center"/>
        <w:rPr>
          <w:rFonts w:ascii="Arial" w:hAnsi="Arial" w:cs="Arial"/>
          <w:b/>
          <w:iCs/>
          <w:sz w:val="22"/>
          <w:szCs w:val="21"/>
        </w:rPr>
      </w:pPr>
      <w:r w:rsidRPr="009C7668">
        <w:rPr>
          <w:rFonts w:ascii="Arial" w:hAnsi="Arial" w:cs="Arial"/>
          <w:b/>
          <w:iCs/>
          <w:sz w:val="22"/>
          <w:szCs w:val="21"/>
        </w:rPr>
        <w:t>Vinculación al mercado laboral de recién graduados (2015 – 2021)</w:t>
      </w:r>
    </w:p>
    <w:tbl>
      <w:tblPr>
        <w:tblW w:w="5000" w:type="pct"/>
        <w:tblCellMar>
          <w:left w:w="70" w:type="dxa"/>
          <w:right w:w="70" w:type="dxa"/>
        </w:tblCellMar>
        <w:tblLook w:val="04A0" w:firstRow="1" w:lastRow="0" w:firstColumn="1" w:lastColumn="0" w:noHBand="0" w:noVBand="1"/>
      </w:tblPr>
      <w:tblGrid>
        <w:gridCol w:w="1985"/>
        <w:gridCol w:w="1083"/>
        <w:gridCol w:w="1083"/>
        <w:gridCol w:w="1083"/>
        <w:gridCol w:w="1083"/>
        <w:gridCol w:w="1083"/>
        <w:gridCol w:w="1084"/>
      </w:tblGrid>
      <w:tr w:rsidR="002C4042" w:rsidRPr="00C8330C" w14:paraId="69CCC58B" w14:textId="77777777" w:rsidTr="00165556">
        <w:trPr>
          <w:trHeight w:val="765"/>
        </w:trPr>
        <w:tc>
          <w:tcPr>
            <w:tcW w:w="1009" w:type="pct"/>
            <w:tcBorders>
              <w:top w:val="single" w:sz="8" w:space="0" w:color="3366CC"/>
              <w:left w:val="single" w:sz="8" w:space="0" w:color="3366CC"/>
              <w:bottom w:val="single" w:sz="8" w:space="0" w:color="3366CC"/>
              <w:right w:val="single" w:sz="8" w:space="0" w:color="3366CC"/>
            </w:tcBorders>
            <w:shd w:val="clear" w:color="000000" w:fill="DDEBF7"/>
            <w:noWrap/>
            <w:vAlign w:val="center"/>
            <w:hideMark/>
          </w:tcPr>
          <w:p w14:paraId="33645FC9" w14:textId="77777777" w:rsidR="002C4042" w:rsidRPr="00C8330C" w:rsidRDefault="002C4042" w:rsidP="00165556">
            <w:pPr>
              <w:jc w:val="center"/>
              <w:rPr>
                <w:rFonts w:ascii="Arial" w:hAnsi="Arial" w:cs="Arial"/>
                <w:b/>
                <w:bCs/>
                <w:sz w:val="20"/>
                <w:szCs w:val="20"/>
              </w:rPr>
            </w:pPr>
            <w:r w:rsidRPr="00C8330C">
              <w:rPr>
                <w:rFonts w:ascii="Arial" w:hAnsi="Arial" w:cs="Arial"/>
                <w:b/>
                <w:bCs/>
                <w:sz w:val="20"/>
                <w:szCs w:val="20"/>
              </w:rPr>
              <w:t>Nivel de Formación</w:t>
            </w:r>
          </w:p>
        </w:tc>
        <w:tc>
          <w:tcPr>
            <w:tcW w:w="665" w:type="pct"/>
            <w:tcBorders>
              <w:top w:val="single" w:sz="8" w:space="0" w:color="3366CC"/>
              <w:left w:val="nil"/>
              <w:bottom w:val="single" w:sz="8" w:space="0" w:color="3366CC"/>
              <w:right w:val="nil"/>
            </w:tcBorders>
            <w:shd w:val="clear" w:color="000000" w:fill="DDEBF7"/>
            <w:vAlign w:val="center"/>
            <w:hideMark/>
          </w:tcPr>
          <w:p w14:paraId="2CBB6EAC" w14:textId="77777777" w:rsidR="002C4042" w:rsidRPr="00D47753" w:rsidRDefault="002C4042" w:rsidP="00165556">
            <w:pPr>
              <w:jc w:val="center"/>
              <w:rPr>
                <w:rFonts w:ascii="Arial" w:hAnsi="Arial" w:cs="Arial"/>
                <w:b/>
                <w:bCs/>
                <w:sz w:val="16"/>
                <w:szCs w:val="16"/>
              </w:rPr>
            </w:pPr>
            <w:r w:rsidRPr="00D47753">
              <w:rPr>
                <w:rFonts w:ascii="Arial" w:hAnsi="Arial" w:cs="Arial"/>
                <w:b/>
                <w:bCs/>
                <w:sz w:val="16"/>
                <w:szCs w:val="16"/>
              </w:rPr>
              <w:t>Vinculación 2015</w:t>
            </w:r>
            <w:r w:rsidRPr="00D47753">
              <w:rPr>
                <w:rFonts w:ascii="Arial" w:hAnsi="Arial" w:cs="Arial"/>
                <w:b/>
                <w:bCs/>
                <w:sz w:val="16"/>
                <w:szCs w:val="16"/>
              </w:rPr>
              <w:br/>
              <w:t>(Graduados 2014)</w:t>
            </w:r>
          </w:p>
        </w:tc>
        <w:tc>
          <w:tcPr>
            <w:tcW w:w="665" w:type="pct"/>
            <w:tcBorders>
              <w:top w:val="single" w:sz="8" w:space="0" w:color="3366CC"/>
              <w:left w:val="nil"/>
              <w:bottom w:val="single" w:sz="8" w:space="0" w:color="3366CC"/>
              <w:right w:val="nil"/>
            </w:tcBorders>
            <w:shd w:val="clear" w:color="000000" w:fill="DDEBF7"/>
            <w:vAlign w:val="center"/>
            <w:hideMark/>
          </w:tcPr>
          <w:p w14:paraId="2D918F5B" w14:textId="77777777" w:rsidR="002C4042" w:rsidRPr="00D47753" w:rsidRDefault="002C4042" w:rsidP="00165556">
            <w:pPr>
              <w:jc w:val="center"/>
              <w:rPr>
                <w:rFonts w:ascii="Arial" w:hAnsi="Arial" w:cs="Arial"/>
                <w:b/>
                <w:bCs/>
                <w:sz w:val="16"/>
                <w:szCs w:val="16"/>
              </w:rPr>
            </w:pPr>
            <w:r w:rsidRPr="00D47753">
              <w:rPr>
                <w:rFonts w:ascii="Arial" w:hAnsi="Arial" w:cs="Arial"/>
                <w:b/>
                <w:bCs/>
                <w:sz w:val="16"/>
                <w:szCs w:val="16"/>
              </w:rPr>
              <w:t>Vinculación 2016</w:t>
            </w:r>
            <w:r w:rsidRPr="00D47753">
              <w:rPr>
                <w:rFonts w:ascii="Arial" w:hAnsi="Arial" w:cs="Arial"/>
                <w:b/>
                <w:bCs/>
                <w:sz w:val="16"/>
                <w:szCs w:val="16"/>
              </w:rPr>
              <w:br/>
              <w:t>(Graduados 2015)</w:t>
            </w:r>
          </w:p>
        </w:tc>
        <w:tc>
          <w:tcPr>
            <w:tcW w:w="665" w:type="pct"/>
            <w:tcBorders>
              <w:top w:val="single" w:sz="8" w:space="0" w:color="3366CC"/>
              <w:left w:val="nil"/>
              <w:bottom w:val="single" w:sz="8" w:space="0" w:color="3366CC"/>
              <w:right w:val="nil"/>
            </w:tcBorders>
            <w:shd w:val="clear" w:color="000000" w:fill="DDEBF7"/>
            <w:vAlign w:val="center"/>
            <w:hideMark/>
          </w:tcPr>
          <w:p w14:paraId="44356BDA" w14:textId="77777777" w:rsidR="002C4042" w:rsidRPr="00D47753" w:rsidRDefault="002C4042" w:rsidP="00165556">
            <w:pPr>
              <w:jc w:val="center"/>
              <w:rPr>
                <w:rFonts w:ascii="Arial" w:hAnsi="Arial" w:cs="Arial"/>
                <w:b/>
                <w:bCs/>
                <w:sz w:val="16"/>
                <w:szCs w:val="16"/>
              </w:rPr>
            </w:pPr>
            <w:r w:rsidRPr="00D47753">
              <w:rPr>
                <w:rFonts w:ascii="Arial" w:hAnsi="Arial" w:cs="Arial"/>
                <w:b/>
                <w:bCs/>
                <w:sz w:val="16"/>
                <w:szCs w:val="16"/>
              </w:rPr>
              <w:t>Vinculación 2017</w:t>
            </w:r>
            <w:r w:rsidRPr="00D47753">
              <w:rPr>
                <w:rFonts w:ascii="Arial" w:hAnsi="Arial" w:cs="Arial"/>
                <w:b/>
                <w:bCs/>
                <w:sz w:val="16"/>
                <w:szCs w:val="16"/>
              </w:rPr>
              <w:br/>
              <w:t>(Graduados 2016)</w:t>
            </w:r>
          </w:p>
        </w:tc>
        <w:tc>
          <w:tcPr>
            <w:tcW w:w="665" w:type="pct"/>
            <w:tcBorders>
              <w:top w:val="single" w:sz="8" w:space="0" w:color="3366CC"/>
              <w:left w:val="nil"/>
              <w:bottom w:val="single" w:sz="8" w:space="0" w:color="3366CC"/>
              <w:right w:val="nil"/>
            </w:tcBorders>
            <w:shd w:val="clear" w:color="000000" w:fill="DDEBF7"/>
            <w:vAlign w:val="center"/>
            <w:hideMark/>
          </w:tcPr>
          <w:p w14:paraId="50776336" w14:textId="77777777" w:rsidR="002C4042" w:rsidRPr="00D47753" w:rsidRDefault="002C4042" w:rsidP="00165556">
            <w:pPr>
              <w:jc w:val="center"/>
              <w:rPr>
                <w:rFonts w:ascii="Arial" w:hAnsi="Arial" w:cs="Arial"/>
                <w:b/>
                <w:bCs/>
                <w:sz w:val="16"/>
                <w:szCs w:val="16"/>
              </w:rPr>
            </w:pPr>
            <w:r w:rsidRPr="00D47753">
              <w:rPr>
                <w:rFonts w:ascii="Arial" w:hAnsi="Arial" w:cs="Arial"/>
                <w:b/>
                <w:bCs/>
                <w:sz w:val="16"/>
                <w:szCs w:val="16"/>
              </w:rPr>
              <w:t>Vinculación 2018</w:t>
            </w:r>
            <w:r w:rsidRPr="00D47753">
              <w:rPr>
                <w:rFonts w:ascii="Arial" w:hAnsi="Arial" w:cs="Arial"/>
                <w:b/>
                <w:bCs/>
                <w:sz w:val="16"/>
                <w:szCs w:val="16"/>
              </w:rPr>
              <w:br/>
              <w:t>(Graduados 2017)</w:t>
            </w:r>
          </w:p>
        </w:tc>
        <w:tc>
          <w:tcPr>
            <w:tcW w:w="665" w:type="pct"/>
            <w:tcBorders>
              <w:top w:val="single" w:sz="8" w:space="0" w:color="3366CC"/>
              <w:left w:val="nil"/>
              <w:bottom w:val="single" w:sz="8" w:space="0" w:color="3366CC"/>
              <w:right w:val="nil"/>
            </w:tcBorders>
            <w:shd w:val="clear" w:color="000000" w:fill="DDEBF7"/>
            <w:vAlign w:val="center"/>
            <w:hideMark/>
          </w:tcPr>
          <w:p w14:paraId="0F25E05E" w14:textId="77777777" w:rsidR="002C4042" w:rsidRPr="00D47753" w:rsidRDefault="002C4042" w:rsidP="00165556">
            <w:pPr>
              <w:jc w:val="center"/>
              <w:rPr>
                <w:rFonts w:ascii="Arial" w:hAnsi="Arial" w:cs="Arial"/>
                <w:b/>
                <w:bCs/>
                <w:sz w:val="16"/>
                <w:szCs w:val="16"/>
              </w:rPr>
            </w:pPr>
            <w:r w:rsidRPr="00D47753">
              <w:rPr>
                <w:rFonts w:ascii="Arial" w:hAnsi="Arial" w:cs="Arial"/>
                <w:b/>
                <w:bCs/>
                <w:sz w:val="16"/>
                <w:szCs w:val="16"/>
              </w:rPr>
              <w:t>Vinculación 2019</w:t>
            </w:r>
            <w:r w:rsidRPr="00D47753">
              <w:rPr>
                <w:rFonts w:ascii="Arial" w:hAnsi="Arial" w:cs="Arial"/>
                <w:b/>
                <w:bCs/>
                <w:sz w:val="16"/>
                <w:szCs w:val="16"/>
              </w:rPr>
              <w:br/>
              <w:t>(Graduados 2018)</w:t>
            </w:r>
          </w:p>
        </w:tc>
        <w:tc>
          <w:tcPr>
            <w:tcW w:w="665" w:type="pct"/>
            <w:tcBorders>
              <w:top w:val="single" w:sz="8" w:space="0" w:color="3366CC"/>
              <w:left w:val="nil"/>
              <w:bottom w:val="single" w:sz="8" w:space="0" w:color="3366CC"/>
              <w:right w:val="single" w:sz="8" w:space="0" w:color="3366CC"/>
            </w:tcBorders>
            <w:shd w:val="clear" w:color="000000" w:fill="DDEBF7"/>
            <w:vAlign w:val="center"/>
            <w:hideMark/>
          </w:tcPr>
          <w:p w14:paraId="3B1D3025" w14:textId="77777777" w:rsidR="002C4042" w:rsidRPr="00D47753" w:rsidRDefault="002C4042" w:rsidP="00165556">
            <w:pPr>
              <w:jc w:val="center"/>
              <w:rPr>
                <w:rFonts w:ascii="Arial" w:hAnsi="Arial" w:cs="Arial"/>
                <w:b/>
                <w:bCs/>
                <w:sz w:val="16"/>
                <w:szCs w:val="16"/>
              </w:rPr>
            </w:pPr>
            <w:r w:rsidRPr="00D47753">
              <w:rPr>
                <w:rFonts w:ascii="Arial" w:hAnsi="Arial" w:cs="Arial"/>
                <w:b/>
                <w:bCs/>
                <w:sz w:val="16"/>
                <w:szCs w:val="16"/>
              </w:rPr>
              <w:t>Vinculación 2020</w:t>
            </w:r>
            <w:r w:rsidRPr="00D47753">
              <w:rPr>
                <w:rFonts w:ascii="Arial" w:hAnsi="Arial" w:cs="Arial"/>
                <w:b/>
                <w:bCs/>
                <w:sz w:val="16"/>
                <w:szCs w:val="16"/>
              </w:rPr>
              <w:br/>
              <w:t>(Graduados 2019)</w:t>
            </w:r>
          </w:p>
        </w:tc>
      </w:tr>
      <w:tr w:rsidR="002C4042" w:rsidRPr="00C8330C" w14:paraId="760B6811" w14:textId="77777777" w:rsidTr="00165556">
        <w:trPr>
          <w:trHeight w:val="375"/>
        </w:trPr>
        <w:tc>
          <w:tcPr>
            <w:tcW w:w="1009" w:type="pct"/>
            <w:tcBorders>
              <w:top w:val="single" w:sz="8" w:space="0" w:color="3366CC"/>
              <w:left w:val="single" w:sz="8" w:space="0" w:color="3366CC"/>
              <w:bottom w:val="single" w:sz="4" w:space="0" w:color="A6A6A6"/>
              <w:right w:val="single" w:sz="8" w:space="0" w:color="3366CC"/>
            </w:tcBorders>
            <w:shd w:val="clear" w:color="auto" w:fill="auto"/>
            <w:noWrap/>
            <w:vAlign w:val="center"/>
            <w:hideMark/>
          </w:tcPr>
          <w:p w14:paraId="6FC357FC" w14:textId="77777777" w:rsidR="002C4042" w:rsidRPr="00C8330C" w:rsidRDefault="002C4042" w:rsidP="00165556">
            <w:pPr>
              <w:rPr>
                <w:rFonts w:ascii="Arial" w:hAnsi="Arial" w:cs="Arial"/>
                <w:sz w:val="20"/>
                <w:szCs w:val="20"/>
              </w:rPr>
            </w:pPr>
            <w:r w:rsidRPr="00C8330C">
              <w:rPr>
                <w:rFonts w:ascii="Arial" w:hAnsi="Arial" w:cs="Arial"/>
                <w:sz w:val="20"/>
                <w:szCs w:val="20"/>
              </w:rPr>
              <w:t>Técnica Profesional</w:t>
            </w:r>
          </w:p>
        </w:tc>
        <w:tc>
          <w:tcPr>
            <w:tcW w:w="665" w:type="pct"/>
            <w:tcBorders>
              <w:top w:val="nil"/>
              <w:left w:val="nil"/>
              <w:bottom w:val="single" w:sz="4" w:space="0" w:color="A6A6A6"/>
              <w:right w:val="single" w:sz="4" w:space="0" w:color="A6A6A6"/>
            </w:tcBorders>
            <w:shd w:val="clear" w:color="auto" w:fill="auto"/>
            <w:noWrap/>
            <w:vAlign w:val="center"/>
            <w:hideMark/>
          </w:tcPr>
          <w:p w14:paraId="34134D5E" w14:textId="77777777" w:rsidR="002C4042" w:rsidRPr="00C8330C" w:rsidRDefault="002C4042" w:rsidP="00165556">
            <w:pPr>
              <w:rPr>
                <w:rFonts w:ascii="Arial" w:hAnsi="Arial" w:cs="Arial"/>
                <w:sz w:val="20"/>
                <w:szCs w:val="20"/>
              </w:rPr>
            </w:pPr>
            <w:r w:rsidRPr="00C8330C">
              <w:rPr>
                <w:rFonts w:ascii="Arial" w:hAnsi="Arial" w:cs="Arial"/>
                <w:sz w:val="20"/>
                <w:szCs w:val="20"/>
              </w:rPr>
              <w:t>39,7%</w:t>
            </w:r>
          </w:p>
        </w:tc>
        <w:tc>
          <w:tcPr>
            <w:tcW w:w="665" w:type="pct"/>
            <w:tcBorders>
              <w:top w:val="nil"/>
              <w:left w:val="nil"/>
              <w:bottom w:val="single" w:sz="4" w:space="0" w:color="A6A6A6"/>
              <w:right w:val="nil"/>
            </w:tcBorders>
            <w:shd w:val="clear" w:color="auto" w:fill="auto"/>
            <w:noWrap/>
            <w:vAlign w:val="center"/>
            <w:hideMark/>
          </w:tcPr>
          <w:p w14:paraId="638BDB80" w14:textId="77777777" w:rsidR="002C4042" w:rsidRPr="00C8330C" w:rsidRDefault="002C4042" w:rsidP="00165556">
            <w:pPr>
              <w:rPr>
                <w:rFonts w:ascii="Arial" w:hAnsi="Arial" w:cs="Arial"/>
                <w:sz w:val="20"/>
                <w:szCs w:val="20"/>
              </w:rPr>
            </w:pPr>
            <w:r w:rsidRPr="00C8330C">
              <w:rPr>
                <w:rFonts w:ascii="Arial" w:hAnsi="Arial" w:cs="Arial"/>
                <w:sz w:val="20"/>
                <w:szCs w:val="20"/>
              </w:rPr>
              <w:t>31,7%</w:t>
            </w:r>
          </w:p>
        </w:tc>
        <w:tc>
          <w:tcPr>
            <w:tcW w:w="665" w:type="pct"/>
            <w:tcBorders>
              <w:top w:val="nil"/>
              <w:left w:val="nil"/>
              <w:bottom w:val="single" w:sz="4" w:space="0" w:color="A6A6A6"/>
              <w:right w:val="single" w:sz="4" w:space="0" w:color="A6A6A6"/>
            </w:tcBorders>
            <w:shd w:val="clear" w:color="auto" w:fill="auto"/>
            <w:noWrap/>
            <w:vAlign w:val="center"/>
            <w:hideMark/>
          </w:tcPr>
          <w:p w14:paraId="07709ADD" w14:textId="77777777" w:rsidR="002C4042" w:rsidRPr="00C8330C" w:rsidRDefault="002C4042" w:rsidP="00165556">
            <w:pPr>
              <w:rPr>
                <w:rFonts w:ascii="Arial" w:hAnsi="Arial" w:cs="Arial"/>
                <w:sz w:val="20"/>
                <w:szCs w:val="20"/>
              </w:rPr>
            </w:pPr>
            <w:r w:rsidRPr="00C8330C">
              <w:rPr>
                <w:rFonts w:ascii="Arial" w:hAnsi="Arial" w:cs="Arial"/>
                <w:sz w:val="20"/>
                <w:szCs w:val="20"/>
              </w:rPr>
              <w:t>28,1%</w:t>
            </w:r>
          </w:p>
        </w:tc>
        <w:tc>
          <w:tcPr>
            <w:tcW w:w="665" w:type="pct"/>
            <w:tcBorders>
              <w:top w:val="nil"/>
              <w:left w:val="nil"/>
              <w:bottom w:val="single" w:sz="4" w:space="0" w:color="A6A6A6"/>
              <w:right w:val="single" w:sz="4" w:space="0" w:color="A6A6A6"/>
            </w:tcBorders>
            <w:shd w:val="clear" w:color="auto" w:fill="auto"/>
            <w:noWrap/>
            <w:vAlign w:val="center"/>
            <w:hideMark/>
          </w:tcPr>
          <w:p w14:paraId="05F1D034" w14:textId="77777777" w:rsidR="002C4042" w:rsidRPr="00C8330C" w:rsidRDefault="002C4042" w:rsidP="00165556">
            <w:pPr>
              <w:rPr>
                <w:rFonts w:ascii="Arial" w:hAnsi="Arial" w:cs="Arial"/>
                <w:sz w:val="20"/>
                <w:szCs w:val="20"/>
              </w:rPr>
            </w:pPr>
            <w:r w:rsidRPr="00C8330C">
              <w:rPr>
                <w:rFonts w:ascii="Arial" w:hAnsi="Arial" w:cs="Arial"/>
                <w:sz w:val="20"/>
                <w:szCs w:val="20"/>
              </w:rPr>
              <w:t>28,2%</w:t>
            </w:r>
          </w:p>
        </w:tc>
        <w:tc>
          <w:tcPr>
            <w:tcW w:w="665" w:type="pct"/>
            <w:tcBorders>
              <w:top w:val="nil"/>
              <w:left w:val="nil"/>
              <w:bottom w:val="single" w:sz="4" w:space="0" w:color="A6A6A6"/>
              <w:right w:val="single" w:sz="4" w:space="0" w:color="A6A6A6"/>
            </w:tcBorders>
            <w:shd w:val="clear" w:color="auto" w:fill="auto"/>
            <w:noWrap/>
            <w:vAlign w:val="center"/>
            <w:hideMark/>
          </w:tcPr>
          <w:p w14:paraId="28CD0C0C" w14:textId="77777777" w:rsidR="002C4042" w:rsidRPr="00C8330C" w:rsidRDefault="002C4042" w:rsidP="00165556">
            <w:pPr>
              <w:rPr>
                <w:rFonts w:ascii="Arial" w:hAnsi="Arial" w:cs="Arial"/>
                <w:sz w:val="20"/>
                <w:szCs w:val="20"/>
              </w:rPr>
            </w:pPr>
            <w:r w:rsidRPr="00C8330C">
              <w:rPr>
                <w:rFonts w:ascii="Arial" w:hAnsi="Arial" w:cs="Arial"/>
                <w:sz w:val="20"/>
                <w:szCs w:val="20"/>
              </w:rPr>
              <w:t>19,5%</w:t>
            </w:r>
          </w:p>
        </w:tc>
        <w:tc>
          <w:tcPr>
            <w:tcW w:w="665" w:type="pct"/>
            <w:tcBorders>
              <w:top w:val="nil"/>
              <w:left w:val="nil"/>
              <w:bottom w:val="single" w:sz="4" w:space="0" w:color="A6A6A6"/>
              <w:right w:val="single" w:sz="8" w:space="0" w:color="3366CC"/>
            </w:tcBorders>
            <w:shd w:val="clear" w:color="auto" w:fill="auto"/>
            <w:noWrap/>
            <w:vAlign w:val="center"/>
            <w:hideMark/>
          </w:tcPr>
          <w:p w14:paraId="5D53E1D4" w14:textId="77777777" w:rsidR="002C4042" w:rsidRPr="00C8330C" w:rsidRDefault="002C4042" w:rsidP="00165556">
            <w:pPr>
              <w:rPr>
                <w:rFonts w:ascii="Arial" w:hAnsi="Arial" w:cs="Arial"/>
                <w:sz w:val="20"/>
                <w:szCs w:val="20"/>
              </w:rPr>
            </w:pPr>
            <w:r w:rsidRPr="00C8330C">
              <w:rPr>
                <w:rFonts w:ascii="Arial" w:hAnsi="Arial" w:cs="Arial"/>
                <w:sz w:val="20"/>
                <w:szCs w:val="20"/>
              </w:rPr>
              <w:t>16,8%</w:t>
            </w:r>
          </w:p>
        </w:tc>
      </w:tr>
      <w:tr w:rsidR="002C4042" w:rsidRPr="00C8330C" w14:paraId="330E625B" w14:textId="77777777" w:rsidTr="00165556">
        <w:trPr>
          <w:trHeight w:val="375"/>
        </w:trPr>
        <w:tc>
          <w:tcPr>
            <w:tcW w:w="1009"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2EA43D27" w14:textId="77777777" w:rsidR="002C4042" w:rsidRPr="00C8330C" w:rsidRDefault="002C4042" w:rsidP="00165556">
            <w:pPr>
              <w:rPr>
                <w:rFonts w:ascii="Arial" w:hAnsi="Arial" w:cs="Arial"/>
                <w:sz w:val="20"/>
                <w:szCs w:val="20"/>
              </w:rPr>
            </w:pPr>
            <w:r w:rsidRPr="00C8330C">
              <w:rPr>
                <w:rFonts w:ascii="Arial" w:hAnsi="Arial" w:cs="Arial"/>
                <w:sz w:val="20"/>
                <w:szCs w:val="20"/>
              </w:rPr>
              <w:t>Tecnológica</w:t>
            </w:r>
          </w:p>
        </w:tc>
        <w:tc>
          <w:tcPr>
            <w:tcW w:w="665" w:type="pct"/>
            <w:tcBorders>
              <w:top w:val="nil"/>
              <w:left w:val="nil"/>
              <w:bottom w:val="single" w:sz="4" w:space="0" w:color="A6A6A6"/>
              <w:right w:val="single" w:sz="4" w:space="0" w:color="A6A6A6"/>
            </w:tcBorders>
            <w:shd w:val="clear" w:color="auto" w:fill="auto"/>
            <w:noWrap/>
            <w:vAlign w:val="center"/>
            <w:hideMark/>
          </w:tcPr>
          <w:p w14:paraId="6DCAC713" w14:textId="77777777" w:rsidR="002C4042" w:rsidRPr="00C8330C" w:rsidRDefault="002C4042" w:rsidP="00165556">
            <w:pPr>
              <w:rPr>
                <w:rFonts w:ascii="Arial" w:hAnsi="Arial" w:cs="Arial"/>
                <w:sz w:val="20"/>
                <w:szCs w:val="20"/>
              </w:rPr>
            </w:pPr>
            <w:r w:rsidRPr="00C8330C">
              <w:rPr>
                <w:rFonts w:ascii="Arial" w:hAnsi="Arial" w:cs="Arial"/>
                <w:sz w:val="20"/>
                <w:szCs w:val="20"/>
              </w:rPr>
              <w:t>75,3%</w:t>
            </w:r>
          </w:p>
        </w:tc>
        <w:tc>
          <w:tcPr>
            <w:tcW w:w="665" w:type="pct"/>
            <w:tcBorders>
              <w:top w:val="nil"/>
              <w:left w:val="nil"/>
              <w:bottom w:val="single" w:sz="4" w:space="0" w:color="A6A6A6"/>
              <w:right w:val="nil"/>
            </w:tcBorders>
            <w:shd w:val="clear" w:color="auto" w:fill="auto"/>
            <w:noWrap/>
            <w:vAlign w:val="center"/>
            <w:hideMark/>
          </w:tcPr>
          <w:p w14:paraId="17440FCD" w14:textId="77777777" w:rsidR="002C4042" w:rsidRPr="00C8330C" w:rsidRDefault="002C4042" w:rsidP="00165556">
            <w:pPr>
              <w:rPr>
                <w:rFonts w:ascii="Arial" w:hAnsi="Arial" w:cs="Arial"/>
                <w:sz w:val="20"/>
                <w:szCs w:val="20"/>
              </w:rPr>
            </w:pPr>
            <w:r w:rsidRPr="00C8330C">
              <w:rPr>
                <w:rFonts w:ascii="Arial" w:hAnsi="Arial" w:cs="Arial"/>
                <w:sz w:val="20"/>
                <w:szCs w:val="20"/>
              </w:rPr>
              <w:t>72,3%</w:t>
            </w:r>
          </w:p>
        </w:tc>
        <w:tc>
          <w:tcPr>
            <w:tcW w:w="665" w:type="pct"/>
            <w:tcBorders>
              <w:top w:val="nil"/>
              <w:left w:val="nil"/>
              <w:bottom w:val="single" w:sz="4" w:space="0" w:color="A6A6A6"/>
              <w:right w:val="single" w:sz="4" w:space="0" w:color="A6A6A6"/>
            </w:tcBorders>
            <w:shd w:val="clear" w:color="auto" w:fill="auto"/>
            <w:noWrap/>
            <w:vAlign w:val="center"/>
            <w:hideMark/>
          </w:tcPr>
          <w:p w14:paraId="291EF488" w14:textId="77777777" w:rsidR="002C4042" w:rsidRPr="00C8330C" w:rsidRDefault="002C4042" w:rsidP="00165556">
            <w:pPr>
              <w:rPr>
                <w:rFonts w:ascii="Arial" w:hAnsi="Arial" w:cs="Arial"/>
                <w:sz w:val="20"/>
                <w:szCs w:val="20"/>
              </w:rPr>
            </w:pPr>
            <w:r w:rsidRPr="00C8330C">
              <w:rPr>
                <w:rFonts w:ascii="Arial" w:hAnsi="Arial" w:cs="Arial"/>
                <w:sz w:val="20"/>
                <w:szCs w:val="20"/>
              </w:rPr>
              <w:t>71,5%</w:t>
            </w:r>
          </w:p>
        </w:tc>
        <w:tc>
          <w:tcPr>
            <w:tcW w:w="665" w:type="pct"/>
            <w:tcBorders>
              <w:top w:val="nil"/>
              <w:left w:val="nil"/>
              <w:bottom w:val="single" w:sz="4" w:space="0" w:color="A6A6A6"/>
              <w:right w:val="single" w:sz="4" w:space="0" w:color="A6A6A6"/>
            </w:tcBorders>
            <w:shd w:val="clear" w:color="auto" w:fill="auto"/>
            <w:noWrap/>
            <w:vAlign w:val="center"/>
            <w:hideMark/>
          </w:tcPr>
          <w:p w14:paraId="2397BCB5" w14:textId="77777777" w:rsidR="002C4042" w:rsidRPr="00C8330C" w:rsidRDefault="002C4042" w:rsidP="00165556">
            <w:pPr>
              <w:rPr>
                <w:rFonts w:ascii="Arial" w:hAnsi="Arial" w:cs="Arial"/>
                <w:sz w:val="20"/>
                <w:szCs w:val="20"/>
              </w:rPr>
            </w:pPr>
            <w:r w:rsidRPr="00C8330C">
              <w:rPr>
                <w:rFonts w:ascii="Arial" w:hAnsi="Arial" w:cs="Arial"/>
                <w:sz w:val="20"/>
                <w:szCs w:val="20"/>
              </w:rPr>
              <w:t>68,9%</w:t>
            </w:r>
          </w:p>
        </w:tc>
        <w:tc>
          <w:tcPr>
            <w:tcW w:w="665" w:type="pct"/>
            <w:tcBorders>
              <w:top w:val="nil"/>
              <w:left w:val="nil"/>
              <w:bottom w:val="single" w:sz="4" w:space="0" w:color="A6A6A6"/>
              <w:right w:val="single" w:sz="4" w:space="0" w:color="A6A6A6"/>
            </w:tcBorders>
            <w:shd w:val="clear" w:color="auto" w:fill="auto"/>
            <w:noWrap/>
            <w:vAlign w:val="center"/>
            <w:hideMark/>
          </w:tcPr>
          <w:p w14:paraId="0F2F212E" w14:textId="77777777" w:rsidR="002C4042" w:rsidRPr="00C8330C" w:rsidRDefault="002C4042" w:rsidP="00165556">
            <w:pPr>
              <w:rPr>
                <w:rFonts w:ascii="Arial" w:hAnsi="Arial" w:cs="Arial"/>
                <w:sz w:val="20"/>
                <w:szCs w:val="20"/>
              </w:rPr>
            </w:pPr>
            <w:r w:rsidRPr="00C8330C">
              <w:rPr>
                <w:rFonts w:ascii="Arial" w:hAnsi="Arial" w:cs="Arial"/>
                <w:sz w:val="20"/>
                <w:szCs w:val="20"/>
              </w:rPr>
              <w:t>67,5%</w:t>
            </w:r>
          </w:p>
        </w:tc>
        <w:tc>
          <w:tcPr>
            <w:tcW w:w="665" w:type="pct"/>
            <w:tcBorders>
              <w:top w:val="nil"/>
              <w:left w:val="nil"/>
              <w:bottom w:val="single" w:sz="4" w:space="0" w:color="A6A6A6"/>
              <w:right w:val="single" w:sz="8" w:space="0" w:color="3366CC"/>
            </w:tcBorders>
            <w:shd w:val="clear" w:color="auto" w:fill="auto"/>
            <w:noWrap/>
            <w:vAlign w:val="center"/>
            <w:hideMark/>
          </w:tcPr>
          <w:p w14:paraId="1E18A8BF" w14:textId="77777777" w:rsidR="002C4042" w:rsidRPr="00C8330C" w:rsidRDefault="002C4042" w:rsidP="00165556">
            <w:pPr>
              <w:rPr>
                <w:rFonts w:ascii="Arial" w:hAnsi="Arial" w:cs="Arial"/>
                <w:sz w:val="20"/>
                <w:szCs w:val="20"/>
              </w:rPr>
            </w:pPr>
            <w:r w:rsidRPr="00C8330C">
              <w:rPr>
                <w:rFonts w:ascii="Arial" w:hAnsi="Arial" w:cs="Arial"/>
                <w:sz w:val="20"/>
                <w:szCs w:val="20"/>
              </w:rPr>
              <w:t>56,7%</w:t>
            </w:r>
          </w:p>
        </w:tc>
      </w:tr>
      <w:tr w:rsidR="002C4042" w:rsidRPr="00C8330C" w14:paraId="04DB2533" w14:textId="77777777" w:rsidTr="00165556">
        <w:trPr>
          <w:trHeight w:val="375"/>
        </w:trPr>
        <w:tc>
          <w:tcPr>
            <w:tcW w:w="1009"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49E01506" w14:textId="77777777" w:rsidR="002C4042" w:rsidRPr="00C8330C" w:rsidRDefault="002C4042" w:rsidP="00165556">
            <w:pPr>
              <w:rPr>
                <w:rFonts w:ascii="Arial" w:hAnsi="Arial" w:cs="Arial"/>
                <w:sz w:val="20"/>
                <w:szCs w:val="20"/>
              </w:rPr>
            </w:pPr>
            <w:r w:rsidRPr="00C8330C">
              <w:rPr>
                <w:rFonts w:ascii="Arial" w:hAnsi="Arial" w:cs="Arial"/>
                <w:sz w:val="20"/>
                <w:szCs w:val="20"/>
              </w:rPr>
              <w:t>Universitaria</w:t>
            </w:r>
          </w:p>
        </w:tc>
        <w:tc>
          <w:tcPr>
            <w:tcW w:w="665" w:type="pct"/>
            <w:tcBorders>
              <w:top w:val="nil"/>
              <w:left w:val="nil"/>
              <w:bottom w:val="single" w:sz="4" w:space="0" w:color="A6A6A6"/>
              <w:right w:val="single" w:sz="4" w:space="0" w:color="A6A6A6"/>
            </w:tcBorders>
            <w:shd w:val="clear" w:color="auto" w:fill="auto"/>
            <w:noWrap/>
            <w:vAlign w:val="center"/>
            <w:hideMark/>
          </w:tcPr>
          <w:p w14:paraId="34936A76" w14:textId="77777777" w:rsidR="002C4042" w:rsidRPr="00C8330C" w:rsidRDefault="002C4042" w:rsidP="00165556">
            <w:pPr>
              <w:rPr>
                <w:rFonts w:ascii="Arial" w:hAnsi="Arial" w:cs="Arial"/>
                <w:sz w:val="20"/>
                <w:szCs w:val="20"/>
              </w:rPr>
            </w:pPr>
            <w:r w:rsidRPr="00C8330C">
              <w:rPr>
                <w:rFonts w:ascii="Arial" w:hAnsi="Arial" w:cs="Arial"/>
                <w:sz w:val="20"/>
                <w:szCs w:val="20"/>
              </w:rPr>
              <w:t>84,3%</w:t>
            </w:r>
          </w:p>
        </w:tc>
        <w:tc>
          <w:tcPr>
            <w:tcW w:w="665" w:type="pct"/>
            <w:tcBorders>
              <w:top w:val="nil"/>
              <w:left w:val="nil"/>
              <w:bottom w:val="single" w:sz="4" w:space="0" w:color="A6A6A6"/>
              <w:right w:val="nil"/>
            </w:tcBorders>
            <w:shd w:val="clear" w:color="auto" w:fill="auto"/>
            <w:noWrap/>
            <w:vAlign w:val="center"/>
            <w:hideMark/>
          </w:tcPr>
          <w:p w14:paraId="1667FE32" w14:textId="77777777" w:rsidR="002C4042" w:rsidRPr="00C8330C" w:rsidRDefault="002C4042" w:rsidP="00165556">
            <w:pPr>
              <w:rPr>
                <w:rFonts w:ascii="Arial" w:hAnsi="Arial" w:cs="Arial"/>
                <w:sz w:val="20"/>
                <w:szCs w:val="20"/>
              </w:rPr>
            </w:pPr>
            <w:r w:rsidRPr="00C8330C">
              <w:rPr>
                <w:rFonts w:ascii="Arial" w:hAnsi="Arial" w:cs="Arial"/>
                <w:sz w:val="20"/>
                <w:szCs w:val="20"/>
              </w:rPr>
              <w:t>83,5%</w:t>
            </w:r>
          </w:p>
        </w:tc>
        <w:tc>
          <w:tcPr>
            <w:tcW w:w="665" w:type="pct"/>
            <w:tcBorders>
              <w:top w:val="nil"/>
              <w:left w:val="nil"/>
              <w:bottom w:val="single" w:sz="4" w:space="0" w:color="A6A6A6"/>
              <w:right w:val="single" w:sz="4" w:space="0" w:color="A6A6A6"/>
            </w:tcBorders>
            <w:shd w:val="clear" w:color="auto" w:fill="auto"/>
            <w:noWrap/>
            <w:vAlign w:val="center"/>
            <w:hideMark/>
          </w:tcPr>
          <w:p w14:paraId="2E8F8906" w14:textId="77777777" w:rsidR="002C4042" w:rsidRPr="00C8330C" w:rsidRDefault="002C4042" w:rsidP="00165556">
            <w:pPr>
              <w:rPr>
                <w:rFonts w:ascii="Arial" w:hAnsi="Arial" w:cs="Arial"/>
                <w:sz w:val="20"/>
                <w:szCs w:val="20"/>
              </w:rPr>
            </w:pPr>
            <w:r w:rsidRPr="00C8330C">
              <w:rPr>
                <w:rFonts w:ascii="Arial" w:hAnsi="Arial" w:cs="Arial"/>
                <w:sz w:val="20"/>
                <w:szCs w:val="20"/>
              </w:rPr>
              <w:t>81,0%</w:t>
            </w:r>
          </w:p>
        </w:tc>
        <w:tc>
          <w:tcPr>
            <w:tcW w:w="665" w:type="pct"/>
            <w:tcBorders>
              <w:top w:val="nil"/>
              <w:left w:val="nil"/>
              <w:bottom w:val="single" w:sz="4" w:space="0" w:color="A6A6A6"/>
              <w:right w:val="single" w:sz="4" w:space="0" w:color="A6A6A6"/>
            </w:tcBorders>
            <w:shd w:val="clear" w:color="auto" w:fill="auto"/>
            <w:noWrap/>
            <w:vAlign w:val="center"/>
            <w:hideMark/>
          </w:tcPr>
          <w:p w14:paraId="5388823F" w14:textId="77777777" w:rsidR="002C4042" w:rsidRPr="00C8330C" w:rsidRDefault="002C4042" w:rsidP="00165556">
            <w:pPr>
              <w:rPr>
                <w:rFonts w:ascii="Arial" w:hAnsi="Arial" w:cs="Arial"/>
                <w:sz w:val="20"/>
                <w:szCs w:val="20"/>
              </w:rPr>
            </w:pPr>
            <w:r w:rsidRPr="00C8330C">
              <w:rPr>
                <w:rFonts w:ascii="Arial" w:hAnsi="Arial" w:cs="Arial"/>
                <w:sz w:val="20"/>
                <w:szCs w:val="20"/>
              </w:rPr>
              <w:t>80,5%</w:t>
            </w:r>
          </w:p>
        </w:tc>
        <w:tc>
          <w:tcPr>
            <w:tcW w:w="665" w:type="pct"/>
            <w:tcBorders>
              <w:top w:val="nil"/>
              <w:left w:val="nil"/>
              <w:bottom w:val="single" w:sz="4" w:space="0" w:color="A6A6A6"/>
              <w:right w:val="single" w:sz="4" w:space="0" w:color="A6A6A6"/>
            </w:tcBorders>
            <w:shd w:val="clear" w:color="auto" w:fill="auto"/>
            <w:noWrap/>
            <w:vAlign w:val="center"/>
            <w:hideMark/>
          </w:tcPr>
          <w:p w14:paraId="36F98746" w14:textId="77777777" w:rsidR="002C4042" w:rsidRPr="00C8330C" w:rsidRDefault="002C4042" w:rsidP="00165556">
            <w:pPr>
              <w:rPr>
                <w:rFonts w:ascii="Arial" w:hAnsi="Arial" w:cs="Arial"/>
                <w:sz w:val="20"/>
                <w:szCs w:val="20"/>
              </w:rPr>
            </w:pPr>
            <w:r w:rsidRPr="00C8330C">
              <w:rPr>
                <w:rFonts w:ascii="Arial" w:hAnsi="Arial" w:cs="Arial"/>
                <w:sz w:val="20"/>
                <w:szCs w:val="20"/>
              </w:rPr>
              <w:t>77,0%</w:t>
            </w:r>
          </w:p>
        </w:tc>
        <w:tc>
          <w:tcPr>
            <w:tcW w:w="665" w:type="pct"/>
            <w:tcBorders>
              <w:top w:val="nil"/>
              <w:left w:val="nil"/>
              <w:bottom w:val="single" w:sz="4" w:space="0" w:color="A6A6A6"/>
              <w:right w:val="single" w:sz="8" w:space="0" w:color="3366CC"/>
            </w:tcBorders>
            <w:shd w:val="clear" w:color="auto" w:fill="auto"/>
            <w:noWrap/>
            <w:vAlign w:val="center"/>
            <w:hideMark/>
          </w:tcPr>
          <w:p w14:paraId="1DC760D9" w14:textId="77777777" w:rsidR="002C4042" w:rsidRPr="00C8330C" w:rsidRDefault="002C4042" w:rsidP="00165556">
            <w:pPr>
              <w:rPr>
                <w:rFonts w:ascii="Arial" w:hAnsi="Arial" w:cs="Arial"/>
                <w:sz w:val="20"/>
                <w:szCs w:val="20"/>
              </w:rPr>
            </w:pPr>
            <w:r w:rsidRPr="00C8330C">
              <w:rPr>
                <w:rFonts w:ascii="Arial" w:hAnsi="Arial" w:cs="Arial"/>
                <w:sz w:val="20"/>
                <w:szCs w:val="20"/>
              </w:rPr>
              <w:t>72,0%</w:t>
            </w:r>
          </w:p>
        </w:tc>
      </w:tr>
      <w:tr w:rsidR="002C4042" w:rsidRPr="00C8330C" w14:paraId="3B3BFB48" w14:textId="77777777" w:rsidTr="00165556">
        <w:trPr>
          <w:trHeight w:val="375"/>
        </w:trPr>
        <w:tc>
          <w:tcPr>
            <w:tcW w:w="1009"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662ECA20" w14:textId="77777777" w:rsidR="002C4042" w:rsidRPr="00C8330C" w:rsidRDefault="002C4042" w:rsidP="00165556">
            <w:pPr>
              <w:rPr>
                <w:rFonts w:ascii="Arial" w:hAnsi="Arial" w:cs="Arial"/>
                <w:sz w:val="20"/>
                <w:szCs w:val="20"/>
              </w:rPr>
            </w:pPr>
            <w:r w:rsidRPr="00C8330C">
              <w:rPr>
                <w:rFonts w:ascii="Arial" w:hAnsi="Arial" w:cs="Arial"/>
                <w:sz w:val="20"/>
                <w:szCs w:val="20"/>
              </w:rPr>
              <w:t>Especialización</w:t>
            </w:r>
          </w:p>
        </w:tc>
        <w:tc>
          <w:tcPr>
            <w:tcW w:w="665" w:type="pct"/>
            <w:tcBorders>
              <w:top w:val="nil"/>
              <w:left w:val="nil"/>
              <w:bottom w:val="single" w:sz="4" w:space="0" w:color="A6A6A6"/>
              <w:right w:val="single" w:sz="4" w:space="0" w:color="A6A6A6"/>
            </w:tcBorders>
            <w:shd w:val="clear" w:color="auto" w:fill="auto"/>
            <w:noWrap/>
            <w:vAlign w:val="center"/>
            <w:hideMark/>
          </w:tcPr>
          <w:p w14:paraId="2C0D1B19" w14:textId="77777777" w:rsidR="002C4042" w:rsidRPr="00C8330C" w:rsidRDefault="002C4042" w:rsidP="00165556">
            <w:pPr>
              <w:rPr>
                <w:rFonts w:ascii="Arial" w:hAnsi="Arial" w:cs="Arial"/>
                <w:sz w:val="20"/>
                <w:szCs w:val="20"/>
              </w:rPr>
            </w:pPr>
            <w:r w:rsidRPr="00C8330C">
              <w:rPr>
                <w:rFonts w:ascii="Arial" w:hAnsi="Arial" w:cs="Arial"/>
                <w:sz w:val="20"/>
                <w:szCs w:val="20"/>
              </w:rPr>
              <w:t>95,6%</w:t>
            </w:r>
          </w:p>
        </w:tc>
        <w:tc>
          <w:tcPr>
            <w:tcW w:w="665" w:type="pct"/>
            <w:tcBorders>
              <w:top w:val="nil"/>
              <w:left w:val="nil"/>
              <w:bottom w:val="single" w:sz="4" w:space="0" w:color="A6A6A6"/>
              <w:right w:val="nil"/>
            </w:tcBorders>
            <w:shd w:val="clear" w:color="auto" w:fill="auto"/>
            <w:noWrap/>
            <w:vAlign w:val="center"/>
            <w:hideMark/>
          </w:tcPr>
          <w:p w14:paraId="0DD55006" w14:textId="77777777" w:rsidR="002C4042" w:rsidRPr="00C8330C" w:rsidRDefault="002C4042" w:rsidP="00165556">
            <w:pPr>
              <w:rPr>
                <w:rFonts w:ascii="Arial" w:hAnsi="Arial" w:cs="Arial"/>
                <w:sz w:val="20"/>
                <w:szCs w:val="20"/>
              </w:rPr>
            </w:pPr>
            <w:r w:rsidRPr="00C8330C">
              <w:rPr>
                <w:rFonts w:ascii="Arial" w:hAnsi="Arial" w:cs="Arial"/>
                <w:sz w:val="20"/>
                <w:szCs w:val="20"/>
              </w:rPr>
              <w:t>94,6%</w:t>
            </w:r>
          </w:p>
        </w:tc>
        <w:tc>
          <w:tcPr>
            <w:tcW w:w="665" w:type="pct"/>
            <w:tcBorders>
              <w:top w:val="nil"/>
              <w:left w:val="nil"/>
              <w:bottom w:val="single" w:sz="4" w:space="0" w:color="A6A6A6"/>
              <w:right w:val="single" w:sz="4" w:space="0" w:color="A6A6A6"/>
            </w:tcBorders>
            <w:shd w:val="clear" w:color="auto" w:fill="auto"/>
            <w:noWrap/>
            <w:vAlign w:val="center"/>
            <w:hideMark/>
          </w:tcPr>
          <w:p w14:paraId="4B6BA3A9" w14:textId="77777777" w:rsidR="002C4042" w:rsidRPr="00C8330C" w:rsidRDefault="002C4042" w:rsidP="00165556">
            <w:pPr>
              <w:rPr>
                <w:rFonts w:ascii="Arial" w:hAnsi="Arial" w:cs="Arial"/>
                <w:sz w:val="20"/>
                <w:szCs w:val="20"/>
              </w:rPr>
            </w:pPr>
            <w:r w:rsidRPr="00C8330C">
              <w:rPr>
                <w:rFonts w:ascii="Arial" w:hAnsi="Arial" w:cs="Arial"/>
                <w:sz w:val="20"/>
                <w:szCs w:val="20"/>
              </w:rPr>
              <w:t>93,3%</w:t>
            </w:r>
          </w:p>
        </w:tc>
        <w:tc>
          <w:tcPr>
            <w:tcW w:w="665" w:type="pct"/>
            <w:tcBorders>
              <w:top w:val="nil"/>
              <w:left w:val="nil"/>
              <w:bottom w:val="single" w:sz="4" w:space="0" w:color="A6A6A6"/>
              <w:right w:val="single" w:sz="4" w:space="0" w:color="A6A6A6"/>
            </w:tcBorders>
            <w:shd w:val="clear" w:color="auto" w:fill="auto"/>
            <w:noWrap/>
            <w:vAlign w:val="center"/>
            <w:hideMark/>
          </w:tcPr>
          <w:p w14:paraId="7B726E0C" w14:textId="77777777" w:rsidR="002C4042" w:rsidRPr="00C8330C" w:rsidRDefault="002C4042" w:rsidP="00165556">
            <w:pPr>
              <w:rPr>
                <w:rFonts w:ascii="Arial" w:hAnsi="Arial" w:cs="Arial"/>
                <w:sz w:val="20"/>
                <w:szCs w:val="20"/>
              </w:rPr>
            </w:pPr>
            <w:r w:rsidRPr="00C8330C">
              <w:rPr>
                <w:rFonts w:ascii="Arial" w:hAnsi="Arial" w:cs="Arial"/>
                <w:sz w:val="20"/>
                <w:szCs w:val="20"/>
              </w:rPr>
              <w:t>93,0%</w:t>
            </w:r>
          </w:p>
        </w:tc>
        <w:tc>
          <w:tcPr>
            <w:tcW w:w="665" w:type="pct"/>
            <w:tcBorders>
              <w:top w:val="nil"/>
              <w:left w:val="nil"/>
              <w:bottom w:val="single" w:sz="4" w:space="0" w:color="A6A6A6"/>
              <w:right w:val="single" w:sz="4" w:space="0" w:color="A6A6A6"/>
            </w:tcBorders>
            <w:shd w:val="clear" w:color="auto" w:fill="auto"/>
            <w:noWrap/>
            <w:vAlign w:val="center"/>
            <w:hideMark/>
          </w:tcPr>
          <w:p w14:paraId="6FF4B286" w14:textId="77777777" w:rsidR="002C4042" w:rsidRPr="00C8330C" w:rsidRDefault="002C4042" w:rsidP="00165556">
            <w:pPr>
              <w:rPr>
                <w:rFonts w:ascii="Arial" w:hAnsi="Arial" w:cs="Arial"/>
                <w:sz w:val="20"/>
                <w:szCs w:val="20"/>
              </w:rPr>
            </w:pPr>
            <w:r w:rsidRPr="00C8330C">
              <w:rPr>
                <w:rFonts w:ascii="Arial" w:hAnsi="Arial" w:cs="Arial"/>
                <w:sz w:val="20"/>
                <w:szCs w:val="20"/>
              </w:rPr>
              <w:t>91,4%</w:t>
            </w:r>
          </w:p>
        </w:tc>
        <w:tc>
          <w:tcPr>
            <w:tcW w:w="665" w:type="pct"/>
            <w:tcBorders>
              <w:top w:val="nil"/>
              <w:left w:val="nil"/>
              <w:bottom w:val="single" w:sz="4" w:space="0" w:color="A6A6A6"/>
              <w:right w:val="single" w:sz="8" w:space="0" w:color="3366CC"/>
            </w:tcBorders>
            <w:shd w:val="clear" w:color="auto" w:fill="auto"/>
            <w:noWrap/>
            <w:vAlign w:val="center"/>
            <w:hideMark/>
          </w:tcPr>
          <w:p w14:paraId="1971BBBD" w14:textId="77777777" w:rsidR="002C4042" w:rsidRPr="00C8330C" w:rsidRDefault="002C4042" w:rsidP="00165556">
            <w:pPr>
              <w:rPr>
                <w:rFonts w:ascii="Arial" w:hAnsi="Arial" w:cs="Arial"/>
                <w:sz w:val="20"/>
                <w:szCs w:val="20"/>
              </w:rPr>
            </w:pPr>
            <w:r w:rsidRPr="00C8330C">
              <w:rPr>
                <w:rFonts w:ascii="Arial" w:hAnsi="Arial" w:cs="Arial"/>
                <w:sz w:val="20"/>
                <w:szCs w:val="20"/>
              </w:rPr>
              <w:t>87,6%</w:t>
            </w:r>
          </w:p>
        </w:tc>
      </w:tr>
      <w:tr w:rsidR="002C4042" w:rsidRPr="00C8330C" w14:paraId="7E0C00D8" w14:textId="77777777" w:rsidTr="00165556">
        <w:trPr>
          <w:trHeight w:val="375"/>
        </w:trPr>
        <w:tc>
          <w:tcPr>
            <w:tcW w:w="1009" w:type="pct"/>
            <w:tcBorders>
              <w:top w:val="single" w:sz="4" w:space="0" w:color="A6A6A6"/>
              <w:left w:val="single" w:sz="8" w:space="0" w:color="3366CC"/>
              <w:bottom w:val="single" w:sz="4" w:space="0" w:color="A6A6A6"/>
              <w:right w:val="single" w:sz="8" w:space="0" w:color="3366CC"/>
            </w:tcBorders>
            <w:shd w:val="clear" w:color="auto" w:fill="auto"/>
            <w:noWrap/>
            <w:vAlign w:val="center"/>
            <w:hideMark/>
          </w:tcPr>
          <w:p w14:paraId="0723C6C9" w14:textId="77777777" w:rsidR="002C4042" w:rsidRPr="00C8330C" w:rsidRDefault="002C4042" w:rsidP="00165556">
            <w:pPr>
              <w:rPr>
                <w:rFonts w:ascii="Arial" w:hAnsi="Arial" w:cs="Arial"/>
                <w:sz w:val="20"/>
                <w:szCs w:val="20"/>
              </w:rPr>
            </w:pPr>
            <w:r w:rsidRPr="00C8330C">
              <w:rPr>
                <w:rFonts w:ascii="Arial" w:hAnsi="Arial" w:cs="Arial"/>
                <w:sz w:val="20"/>
                <w:szCs w:val="20"/>
              </w:rPr>
              <w:t>Maestría</w:t>
            </w:r>
          </w:p>
        </w:tc>
        <w:tc>
          <w:tcPr>
            <w:tcW w:w="665" w:type="pct"/>
            <w:tcBorders>
              <w:top w:val="nil"/>
              <w:left w:val="nil"/>
              <w:bottom w:val="single" w:sz="4" w:space="0" w:color="A6A6A6"/>
              <w:right w:val="single" w:sz="4" w:space="0" w:color="A6A6A6"/>
            </w:tcBorders>
            <w:shd w:val="clear" w:color="auto" w:fill="auto"/>
            <w:noWrap/>
            <w:vAlign w:val="center"/>
            <w:hideMark/>
          </w:tcPr>
          <w:p w14:paraId="028DC765" w14:textId="77777777" w:rsidR="002C4042" w:rsidRPr="00C8330C" w:rsidRDefault="002C4042" w:rsidP="00165556">
            <w:pPr>
              <w:rPr>
                <w:rFonts w:ascii="Arial" w:hAnsi="Arial" w:cs="Arial"/>
                <w:sz w:val="20"/>
                <w:szCs w:val="20"/>
              </w:rPr>
            </w:pPr>
            <w:r w:rsidRPr="00C8330C">
              <w:rPr>
                <w:rFonts w:ascii="Arial" w:hAnsi="Arial" w:cs="Arial"/>
                <w:sz w:val="20"/>
                <w:szCs w:val="20"/>
              </w:rPr>
              <w:t>97,8%</w:t>
            </w:r>
          </w:p>
        </w:tc>
        <w:tc>
          <w:tcPr>
            <w:tcW w:w="665" w:type="pct"/>
            <w:tcBorders>
              <w:top w:val="nil"/>
              <w:left w:val="nil"/>
              <w:bottom w:val="single" w:sz="4" w:space="0" w:color="A6A6A6"/>
              <w:right w:val="nil"/>
            </w:tcBorders>
            <w:shd w:val="clear" w:color="auto" w:fill="auto"/>
            <w:noWrap/>
            <w:vAlign w:val="center"/>
            <w:hideMark/>
          </w:tcPr>
          <w:p w14:paraId="14270DEA" w14:textId="77777777" w:rsidR="002C4042" w:rsidRPr="00C8330C" w:rsidRDefault="002C4042" w:rsidP="00165556">
            <w:pPr>
              <w:rPr>
                <w:rFonts w:ascii="Arial" w:hAnsi="Arial" w:cs="Arial"/>
                <w:sz w:val="20"/>
                <w:szCs w:val="20"/>
              </w:rPr>
            </w:pPr>
            <w:r w:rsidRPr="00C8330C">
              <w:rPr>
                <w:rFonts w:ascii="Arial" w:hAnsi="Arial" w:cs="Arial"/>
                <w:sz w:val="20"/>
                <w:szCs w:val="20"/>
              </w:rPr>
              <w:t>97,4%</w:t>
            </w:r>
          </w:p>
        </w:tc>
        <w:tc>
          <w:tcPr>
            <w:tcW w:w="665" w:type="pct"/>
            <w:tcBorders>
              <w:top w:val="nil"/>
              <w:left w:val="nil"/>
              <w:bottom w:val="single" w:sz="4" w:space="0" w:color="A6A6A6"/>
              <w:right w:val="single" w:sz="4" w:space="0" w:color="A6A6A6"/>
            </w:tcBorders>
            <w:shd w:val="clear" w:color="auto" w:fill="auto"/>
            <w:noWrap/>
            <w:vAlign w:val="center"/>
            <w:hideMark/>
          </w:tcPr>
          <w:p w14:paraId="394D8188" w14:textId="77777777" w:rsidR="002C4042" w:rsidRPr="00C8330C" w:rsidRDefault="002C4042" w:rsidP="00165556">
            <w:pPr>
              <w:rPr>
                <w:rFonts w:ascii="Arial" w:hAnsi="Arial" w:cs="Arial"/>
                <w:sz w:val="20"/>
                <w:szCs w:val="20"/>
              </w:rPr>
            </w:pPr>
            <w:r w:rsidRPr="00C8330C">
              <w:rPr>
                <w:rFonts w:ascii="Arial" w:hAnsi="Arial" w:cs="Arial"/>
                <w:sz w:val="20"/>
                <w:szCs w:val="20"/>
              </w:rPr>
              <w:t>96,9%</w:t>
            </w:r>
          </w:p>
        </w:tc>
        <w:tc>
          <w:tcPr>
            <w:tcW w:w="665" w:type="pct"/>
            <w:tcBorders>
              <w:top w:val="nil"/>
              <w:left w:val="nil"/>
              <w:bottom w:val="single" w:sz="4" w:space="0" w:color="A6A6A6"/>
              <w:right w:val="single" w:sz="4" w:space="0" w:color="A6A6A6"/>
            </w:tcBorders>
            <w:shd w:val="clear" w:color="auto" w:fill="auto"/>
            <w:noWrap/>
            <w:vAlign w:val="center"/>
            <w:hideMark/>
          </w:tcPr>
          <w:p w14:paraId="6D6F1FBC" w14:textId="77777777" w:rsidR="002C4042" w:rsidRPr="00C8330C" w:rsidRDefault="002C4042" w:rsidP="00165556">
            <w:pPr>
              <w:rPr>
                <w:rFonts w:ascii="Arial" w:hAnsi="Arial" w:cs="Arial"/>
                <w:sz w:val="20"/>
                <w:szCs w:val="20"/>
              </w:rPr>
            </w:pPr>
            <w:r w:rsidRPr="00C8330C">
              <w:rPr>
                <w:rFonts w:ascii="Arial" w:hAnsi="Arial" w:cs="Arial"/>
                <w:sz w:val="20"/>
                <w:szCs w:val="20"/>
              </w:rPr>
              <w:t>97,0%</w:t>
            </w:r>
          </w:p>
        </w:tc>
        <w:tc>
          <w:tcPr>
            <w:tcW w:w="665" w:type="pct"/>
            <w:tcBorders>
              <w:top w:val="nil"/>
              <w:left w:val="nil"/>
              <w:bottom w:val="single" w:sz="4" w:space="0" w:color="A6A6A6"/>
              <w:right w:val="single" w:sz="4" w:space="0" w:color="A6A6A6"/>
            </w:tcBorders>
            <w:shd w:val="clear" w:color="auto" w:fill="auto"/>
            <w:noWrap/>
            <w:vAlign w:val="center"/>
            <w:hideMark/>
          </w:tcPr>
          <w:p w14:paraId="5B216DA0" w14:textId="77777777" w:rsidR="002C4042" w:rsidRPr="00C8330C" w:rsidRDefault="002C4042" w:rsidP="00165556">
            <w:pPr>
              <w:rPr>
                <w:rFonts w:ascii="Arial" w:hAnsi="Arial" w:cs="Arial"/>
                <w:sz w:val="20"/>
                <w:szCs w:val="20"/>
              </w:rPr>
            </w:pPr>
            <w:r w:rsidRPr="00C8330C">
              <w:rPr>
                <w:rFonts w:ascii="Arial" w:hAnsi="Arial" w:cs="Arial"/>
                <w:sz w:val="20"/>
                <w:szCs w:val="20"/>
              </w:rPr>
              <w:t>95,8%</w:t>
            </w:r>
          </w:p>
        </w:tc>
        <w:tc>
          <w:tcPr>
            <w:tcW w:w="665" w:type="pct"/>
            <w:tcBorders>
              <w:top w:val="nil"/>
              <w:left w:val="nil"/>
              <w:bottom w:val="single" w:sz="4" w:space="0" w:color="A6A6A6"/>
              <w:right w:val="single" w:sz="8" w:space="0" w:color="3366CC"/>
            </w:tcBorders>
            <w:shd w:val="clear" w:color="auto" w:fill="auto"/>
            <w:noWrap/>
            <w:vAlign w:val="center"/>
            <w:hideMark/>
          </w:tcPr>
          <w:p w14:paraId="2C77768E" w14:textId="77777777" w:rsidR="002C4042" w:rsidRPr="00C8330C" w:rsidRDefault="002C4042" w:rsidP="00165556">
            <w:pPr>
              <w:rPr>
                <w:rFonts w:ascii="Arial" w:hAnsi="Arial" w:cs="Arial"/>
                <w:sz w:val="20"/>
                <w:szCs w:val="20"/>
              </w:rPr>
            </w:pPr>
            <w:r w:rsidRPr="00C8330C">
              <w:rPr>
                <w:rFonts w:ascii="Arial" w:hAnsi="Arial" w:cs="Arial"/>
                <w:sz w:val="20"/>
                <w:szCs w:val="20"/>
              </w:rPr>
              <w:t>93,7%</w:t>
            </w:r>
          </w:p>
        </w:tc>
      </w:tr>
      <w:tr w:rsidR="002C4042" w:rsidRPr="00C8330C" w14:paraId="1CF92E4A" w14:textId="77777777" w:rsidTr="00165556">
        <w:trPr>
          <w:trHeight w:val="390"/>
        </w:trPr>
        <w:tc>
          <w:tcPr>
            <w:tcW w:w="1009" w:type="pct"/>
            <w:tcBorders>
              <w:top w:val="single" w:sz="4" w:space="0" w:color="A6A6A6"/>
              <w:left w:val="single" w:sz="8" w:space="0" w:color="3366CC"/>
              <w:bottom w:val="single" w:sz="8" w:space="0" w:color="3366CC"/>
              <w:right w:val="single" w:sz="8" w:space="0" w:color="3366CC"/>
            </w:tcBorders>
            <w:shd w:val="clear" w:color="auto" w:fill="auto"/>
            <w:noWrap/>
            <w:vAlign w:val="center"/>
            <w:hideMark/>
          </w:tcPr>
          <w:p w14:paraId="2D8967D0" w14:textId="77777777" w:rsidR="002C4042" w:rsidRPr="00C8330C" w:rsidRDefault="002C4042" w:rsidP="00165556">
            <w:pPr>
              <w:rPr>
                <w:rFonts w:ascii="Arial" w:hAnsi="Arial" w:cs="Arial"/>
                <w:sz w:val="20"/>
                <w:szCs w:val="20"/>
              </w:rPr>
            </w:pPr>
            <w:r w:rsidRPr="00C8330C">
              <w:rPr>
                <w:rFonts w:ascii="Arial" w:hAnsi="Arial" w:cs="Arial"/>
                <w:sz w:val="20"/>
                <w:szCs w:val="20"/>
              </w:rPr>
              <w:t>Doctorado</w:t>
            </w:r>
          </w:p>
        </w:tc>
        <w:tc>
          <w:tcPr>
            <w:tcW w:w="665" w:type="pct"/>
            <w:tcBorders>
              <w:top w:val="nil"/>
              <w:left w:val="nil"/>
              <w:bottom w:val="single" w:sz="8" w:space="0" w:color="3366CC"/>
              <w:right w:val="single" w:sz="4" w:space="0" w:color="A6A6A6"/>
            </w:tcBorders>
            <w:shd w:val="clear" w:color="auto" w:fill="auto"/>
            <w:noWrap/>
            <w:vAlign w:val="center"/>
            <w:hideMark/>
          </w:tcPr>
          <w:p w14:paraId="0B606E75" w14:textId="77777777" w:rsidR="002C4042" w:rsidRPr="00C8330C" w:rsidRDefault="002C4042" w:rsidP="00165556">
            <w:pPr>
              <w:rPr>
                <w:rFonts w:ascii="Arial" w:hAnsi="Arial" w:cs="Arial"/>
                <w:sz w:val="20"/>
                <w:szCs w:val="20"/>
              </w:rPr>
            </w:pPr>
            <w:r w:rsidRPr="00C8330C">
              <w:rPr>
                <w:rFonts w:ascii="Arial" w:hAnsi="Arial" w:cs="Arial"/>
                <w:sz w:val="20"/>
                <w:szCs w:val="20"/>
              </w:rPr>
              <w:t>93,3%</w:t>
            </w:r>
          </w:p>
        </w:tc>
        <w:tc>
          <w:tcPr>
            <w:tcW w:w="665" w:type="pct"/>
            <w:tcBorders>
              <w:top w:val="nil"/>
              <w:left w:val="nil"/>
              <w:bottom w:val="single" w:sz="8" w:space="0" w:color="3366CC"/>
              <w:right w:val="nil"/>
            </w:tcBorders>
            <w:shd w:val="clear" w:color="auto" w:fill="auto"/>
            <w:noWrap/>
            <w:vAlign w:val="center"/>
            <w:hideMark/>
          </w:tcPr>
          <w:p w14:paraId="0D7A3475" w14:textId="77777777" w:rsidR="002C4042" w:rsidRPr="00C8330C" w:rsidRDefault="002C4042" w:rsidP="00165556">
            <w:pPr>
              <w:rPr>
                <w:rFonts w:ascii="Arial" w:hAnsi="Arial" w:cs="Arial"/>
                <w:sz w:val="20"/>
                <w:szCs w:val="20"/>
              </w:rPr>
            </w:pPr>
            <w:r w:rsidRPr="00C8330C">
              <w:rPr>
                <w:rFonts w:ascii="Arial" w:hAnsi="Arial" w:cs="Arial"/>
                <w:sz w:val="20"/>
                <w:szCs w:val="20"/>
              </w:rPr>
              <w:t>100,0%</w:t>
            </w:r>
          </w:p>
        </w:tc>
        <w:tc>
          <w:tcPr>
            <w:tcW w:w="665" w:type="pct"/>
            <w:tcBorders>
              <w:top w:val="nil"/>
              <w:left w:val="nil"/>
              <w:bottom w:val="single" w:sz="8" w:space="0" w:color="3366CC"/>
              <w:right w:val="single" w:sz="4" w:space="0" w:color="A6A6A6"/>
            </w:tcBorders>
            <w:shd w:val="clear" w:color="auto" w:fill="auto"/>
            <w:noWrap/>
            <w:vAlign w:val="center"/>
            <w:hideMark/>
          </w:tcPr>
          <w:p w14:paraId="243B1797" w14:textId="77777777" w:rsidR="002C4042" w:rsidRPr="00C8330C" w:rsidRDefault="002C4042" w:rsidP="00165556">
            <w:pPr>
              <w:rPr>
                <w:rFonts w:ascii="Arial" w:hAnsi="Arial" w:cs="Arial"/>
                <w:sz w:val="20"/>
                <w:szCs w:val="20"/>
              </w:rPr>
            </w:pPr>
            <w:r w:rsidRPr="00C8330C">
              <w:rPr>
                <w:rFonts w:ascii="Arial" w:hAnsi="Arial" w:cs="Arial"/>
                <w:sz w:val="20"/>
                <w:szCs w:val="20"/>
              </w:rPr>
              <w:t>98,0%</w:t>
            </w:r>
          </w:p>
        </w:tc>
        <w:tc>
          <w:tcPr>
            <w:tcW w:w="665" w:type="pct"/>
            <w:tcBorders>
              <w:top w:val="nil"/>
              <w:left w:val="nil"/>
              <w:bottom w:val="single" w:sz="8" w:space="0" w:color="3366CC"/>
              <w:right w:val="single" w:sz="4" w:space="0" w:color="A6A6A6"/>
            </w:tcBorders>
            <w:shd w:val="clear" w:color="auto" w:fill="auto"/>
            <w:noWrap/>
            <w:vAlign w:val="center"/>
            <w:hideMark/>
          </w:tcPr>
          <w:p w14:paraId="0A04C058" w14:textId="77777777" w:rsidR="002C4042" w:rsidRPr="00C8330C" w:rsidRDefault="002C4042" w:rsidP="00165556">
            <w:pPr>
              <w:rPr>
                <w:rFonts w:ascii="Arial" w:hAnsi="Arial" w:cs="Arial"/>
                <w:sz w:val="20"/>
                <w:szCs w:val="20"/>
              </w:rPr>
            </w:pPr>
            <w:r w:rsidRPr="00C8330C">
              <w:rPr>
                <w:rFonts w:ascii="Arial" w:hAnsi="Arial" w:cs="Arial"/>
                <w:sz w:val="20"/>
                <w:szCs w:val="20"/>
              </w:rPr>
              <w:t>82,9%</w:t>
            </w:r>
          </w:p>
        </w:tc>
        <w:tc>
          <w:tcPr>
            <w:tcW w:w="665" w:type="pct"/>
            <w:tcBorders>
              <w:top w:val="nil"/>
              <w:left w:val="nil"/>
              <w:bottom w:val="single" w:sz="8" w:space="0" w:color="3366CC"/>
              <w:right w:val="single" w:sz="4" w:space="0" w:color="A6A6A6"/>
            </w:tcBorders>
            <w:shd w:val="clear" w:color="auto" w:fill="auto"/>
            <w:noWrap/>
            <w:vAlign w:val="center"/>
            <w:hideMark/>
          </w:tcPr>
          <w:p w14:paraId="7353A431" w14:textId="77777777" w:rsidR="002C4042" w:rsidRPr="00C8330C" w:rsidRDefault="002C4042" w:rsidP="00165556">
            <w:pPr>
              <w:rPr>
                <w:rFonts w:ascii="Arial" w:hAnsi="Arial" w:cs="Arial"/>
                <w:sz w:val="20"/>
                <w:szCs w:val="20"/>
              </w:rPr>
            </w:pPr>
            <w:r w:rsidRPr="00C8330C">
              <w:rPr>
                <w:rFonts w:ascii="Arial" w:hAnsi="Arial" w:cs="Arial"/>
                <w:sz w:val="20"/>
                <w:szCs w:val="20"/>
              </w:rPr>
              <w:t>98,4%</w:t>
            </w:r>
          </w:p>
        </w:tc>
        <w:tc>
          <w:tcPr>
            <w:tcW w:w="665" w:type="pct"/>
            <w:tcBorders>
              <w:top w:val="nil"/>
              <w:left w:val="nil"/>
              <w:bottom w:val="single" w:sz="8" w:space="0" w:color="3366CC"/>
              <w:right w:val="single" w:sz="8" w:space="0" w:color="3366CC"/>
            </w:tcBorders>
            <w:shd w:val="clear" w:color="auto" w:fill="auto"/>
            <w:noWrap/>
            <w:vAlign w:val="center"/>
            <w:hideMark/>
          </w:tcPr>
          <w:p w14:paraId="6ACEDCCA" w14:textId="77777777" w:rsidR="002C4042" w:rsidRPr="00C8330C" w:rsidRDefault="002C4042" w:rsidP="00165556">
            <w:pPr>
              <w:rPr>
                <w:rFonts w:ascii="Arial" w:hAnsi="Arial" w:cs="Arial"/>
                <w:sz w:val="20"/>
                <w:szCs w:val="20"/>
              </w:rPr>
            </w:pPr>
            <w:r w:rsidRPr="00C8330C">
              <w:rPr>
                <w:rFonts w:ascii="Arial" w:hAnsi="Arial" w:cs="Arial"/>
                <w:sz w:val="20"/>
                <w:szCs w:val="20"/>
              </w:rPr>
              <w:t>96,7%</w:t>
            </w:r>
          </w:p>
        </w:tc>
      </w:tr>
    </w:tbl>
    <w:p w14:paraId="1E719EEF" w14:textId="77777777" w:rsidR="002C4042" w:rsidRPr="00C8330C" w:rsidRDefault="002C4042" w:rsidP="002C4042">
      <w:pPr>
        <w:rPr>
          <w:rFonts w:ascii="Arial" w:hAnsi="Arial" w:cs="Arial"/>
          <w:color w:val="808080" w:themeColor="background1" w:themeShade="80"/>
          <w:sz w:val="16"/>
          <w:szCs w:val="16"/>
        </w:rPr>
      </w:pPr>
      <w:r w:rsidRPr="00C8330C">
        <w:rPr>
          <w:rFonts w:ascii="Arial" w:hAnsi="Arial" w:cs="Arial"/>
          <w:color w:val="808080" w:themeColor="background1" w:themeShade="80"/>
          <w:sz w:val="16"/>
          <w:szCs w:val="16"/>
        </w:rPr>
        <w:t>Fuente: MEN - OLE</w:t>
      </w:r>
    </w:p>
    <w:p w14:paraId="07EAE655" w14:textId="77777777" w:rsidR="002C4042" w:rsidRDefault="002C4042" w:rsidP="002C4042">
      <w:pPr>
        <w:jc w:val="both"/>
      </w:pPr>
    </w:p>
    <w:p w14:paraId="5993047F" w14:textId="77777777" w:rsidR="002C4042" w:rsidRDefault="002C4042" w:rsidP="002C4042">
      <w:pPr>
        <w:jc w:val="both"/>
      </w:pPr>
      <w:r>
        <w:t>Aunque la ocupación de la población joven con título de educación superior es alta, el ingreso base de cotización revela que, en promedio, los estudiantes graduados de un programa técnico profesional, y tecnológico, son remunerados con una diferencia apenas por encima de un salario mínimo. Frente a los universitarios, la diferencia del ingreso base de cotización es apenas de medio salario mínimo.</w:t>
      </w:r>
    </w:p>
    <w:p w14:paraId="7820701F" w14:textId="77777777" w:rsidR="002C4042" w:rsidRDefault="002C4042" w:rsidP="002C4042">
      <w:pPr>
        <w:jc w:val="both"/>
      </w:pPr>
    </w:p>
    <w:p w14:paraId="0F7A5C5C" w14:textId="77777777" w:rsidR="002C4042" w:rsidRDefault="002C4042" w:rsidP="002C4042">
      <w:pPr>
        <w:jc w:val="both"/>
      </w:pPr>
      <w:r>
        <w:t>Los graduados con mayor nivel de cualificación tienen un ingreso base de cotización más alto, no obstante, se observa que en 2020 este ingreso disminuyó.</w:t>
      </w:r>
    </w:p>
    <w:p w14:paraId="6435FC14" w14:textId="77777777" w:rsidR="002C4042" w:rsidRDefault="002C4042" w:rsidP="002C4042">
      <w:pPr>
        <w:jc w:val="both"/>
      </w:pPr>
    </w:p>
    <w:p w14:paraId="0614701F" w14:textId="77777777" w:rsidR="002C4042" w:rsidRPr="007D7081" w:rsidRDefault="002C4042" w:rsidP="002C4042">
      <w:pPr>
        <w:jc w:val="center"/>
        <w:rPr>
          <w:rFonts w:ascii="Arial" w:hAnsi="Arial" w:cs="Arial"/>
          <w:b/>
          <w:iCs/>
          <w:sz w:val="22"/>
          <w:szCs w:val="21"/>
        </w:rPr>
      </w:pPr>
      <w:r w:rsidRPr="007D7081">
        <w:rPr>
          <w:rFonts w:ascii="Arial" w:hAnsi="Arial" w:cs="Arial"/>
          <w:b/>
          <w:iCs/>
          <w:sz w:val="22"/>
          <w:szCs w:val="21"/>
        </w:rPr>
        <w:lastRenderedPageBreak/>
        <w:t>Ingresos Base de Cotización estimado de los recién graduados según máximo nivel de formación (2018 – 2020)</w:t>
      </w:r>
    </w:p>
    <w:tbl>
      <w:tblPr>
        <w:tblW w:w="5000" w:type="pct"/>
        <w:jc w:val="center"/>
        <w:tblBorders>
          <w:top w:val="single" w:sz="8" w:space="0" w:color="3366CC"/>
          <w:left w:val="single" w:sz="8" w:space="0" w:color="3366CC"/>
          <w:bottom w:val="single" w:sz="8" w:space="0" w:color="3366CC"/>
          <w:right w:val="single" w:sz="8" w:space="0" w:color="3366CC"/>
          <w:insideH w:val="single" w:sz="6" w:space="0" w:color="3366CC"/>
          <w:insideV w:val="single" w:sz="6" w:space="0" w:color="3366CC"/>
        </w:tblBorders>
        <w:tblCellMar>
          <w:left w:w="70" w:type="dxa"/>
          <w:right w:w="70" w:type="dxa"/>
        </w:tblCellMar>
        <w:tblLook w:val="04A0" w:firstRow="1" w:lastRow="0" w:firstColumn="1" w:lastColumn="0" w:noHBand="0" w:noVBand="1"/>
      </w:tblPr>
      <w:tblGrid>
        <w:gridCol w:w="2146"/>
        <w:gridCol w:w="2115"/>
        <w:gridCol w:w="2114"/>
        <w:gridCol w:w="2109"/>
      </w:tblGrid>
      <w:tr w:rsidR="002C4042" w:rsidRPr="00C8330C" w14:paraId="1E92AE1F" w14:textId="77777777" w:rsidTr="00165556">
        <w:trPr>
          <w:trHeight w:val="1125"/>
          <w:tblHeader/>
          <w:jc w:val="center"/>
        </w:trPr>
        <w:tc>
          <w:tcPr>
            <w:tcW w:w="1264" w:type="pct"/>
            <w:shd w:val="clear" w:color="000000" w:fill="DDEBF7"/>
            <w:noWrap/>
            <w:vAlign w:val="center"/>
            <w:hideMark/>
          </w:tcPr>
          <w:p w14:paraId="591E1B78" w14:textId="77777777" w:rsidR="002C4042" w:rsidRPr="00C8330C" w:rsidRDefault="002C4042" w:rsidP="00165556">
            <w:pPr>
              <w:rPr>
                <w:rFonts w:ascii="Arial" w:hAnsi="Arial" w:cs="Arial"/>
                <w:b/>
                <w:bCs/>
                <w:sz w:val="20"/>
                <w:szCs w:val="20"/>
              </w:rPr>
            </w:pPr>
            <w:r w:rsidRPr="00C8330C">
              <w:rPr>
                <w:rFonts w:ascii="Arial" w:hAnsi="Arial" w:cs="Arial"/>
                <w:b/>
                <w:bCs/>
                <w:sz w:val="20"/>
                <w:szCs w:val="20"/>
              </w:rPr>
              <w:t>Nivel de Formación</w:t>
            </w:r>
          </w:p>
        </w:tc>
        <w:tc>
          <w:tcPr>
            <w:tcW w:w="1246" w:type="pct"/>
            <w:shd w:val="clear" w:color="000000" w:fill="DDEBF7"/>
            <w:vAlign w:val="center"/>
            <w:hideMark/>
          </w:tcPr>
          <w:p w14:paraId="7310ABFF" w14:textId="77777777" w:rsidR="002C4042" w:rsidRPr="00C8330C" w:rsidRDefault="002C4042" w:rsidP="00165556">
            <w:pPr>
              <w:rPr>
                <w:rFonts w:ascii="Arial" w:hAnsi="Arial" w:cs="Arial"/>
                <w:b/>
                <w:bCs/>
                <w:sz w:val="20"/>
                <w:szCs w:val="20"/>
              </w:rPr>
            </w:pPr>
            <w:r w:rsidRPr="00C8330C">
              <w:rPr>
                <w:rFonts w:ascii="Arial" w:hAnsi="Arial" w:cs="Arial"/>
                <w:b/>
                <w:bCs/>
                <w:sz w:val="20"/>
                <w:szCs w:val="20"/>
              </w:rPr>
              <w:t>Vinculación 2018</w:t>
            </w:r>
            <w:r w:rsidRPr="00C8330C">
              <w:rPr>
                <w:rFonts w:ascii="Arial" w:hAnsi="Arial" w:cs="Arial"/>
                <w:b/>
                <w:bCs/>
                <w:sz w:val="20"/>
                <w:szCs w:val="20"/>
              </w:rPr>
              <w:br/>
              <w:t>(Graduados 2017)</w:t>
            </w:r>
          </w:p>
        </w:tc>
        <w:tc>
          <w:tcPr>
            <w:tcW w:w="1246" w:type="pct"/>
            <w:shd w:val="clear" w:color="000000" w:fill="DDEBF7"/>
            <w:vAlign w:val="center"/>
            <w:hideMark/>
          </w:tcPr>
          <w:p w14:paraId="61A35AEF" w14:textId="77777777" w:rsidR="002C4042" w:rsidRPr="00C8330C" w:rsidRDefault="002C4042" w:rsidP="00165556">
            <w:pPr>
              <w:rPr>
                <w:rFonts w:ascii="Arial" w:hAnsi="Arial" w:cs="Arial"/>
                <w:b/>
                <w:bCs/>
                <w:sz w:val="20"/>
                <w:szCs w:val="20"/>
              </w:rPr>
            </w:pPr>
            <w:r w:rsidRPr="00C8330C">
              <w:rPr>
                <w:rFonts w:ascii="Arial" w:hAnsi="Arial" w:cs="Arial"/>
                <w:b/>
                <w:bCs/>
                <w:sz w:val="20"/>
                <w:szCs w:val="20"/>
              </w:rPr>
              <w:t>Vinculación 2019</w:t>
            </w:r>
            <w:r w:rsidRPr="00C8330C">
              <w:rPr>
                <w:rFonts w:ascii="Arial" w:hAnsi="Arial" w:cs="Arial"/>
                <w:b/>
                <w:bCs/>
                <w:sz w:val="20"/>
                <w:szCs w:val="20"/>
              </w:rPr>
              <w:br/>
              <w:t>(Graduados 2018)</w:t>
            </w:r>
          </w:p>
        </w:tc>
        <w:tc>
          <w:tcPr>
            <w:tcW w:w="1243" w:type="pct"/>
            <w:shd w:val="clear" w:color="000000" w:fill="DDEBF7"/>
            <w:vAlign w:val="center"/>
            <w:hideMark/>
          </w:tcPr>
          <w:p w14:paraId="52E4620F" w14:textId="77777777" w:rsidR="002C4042" w:rsidRPr="00C8330C" w:rsidRDefault="002C4042" w:rsidP="00165556">
            <w:pPr>
              <w:rPr>
                <w:rFonts w:ascii="Arial" w:hAnsi="Arial" w:cs="Arial"/>
                <w:b/>
                <w:bCs/>
                <w:sz w:val="20"/>
                <w:szCs w:val="20"/>
              </w:rPr>
            </w:pPr>
            <w:r w:rsidRPr="00C8330C">
              <w:rPr>
                <w:rFonts w:ascii="Arial" w:hAnsi="Arial" w:cs="Arial"/>
                <w:b/>
                <w:bCs/>
                <w:sz w:val="20"/>
                <w:szCs w:val="20"/>
              </w:rPr>
              <w:t>Vinculación 2020</w:t>
            </w:r>
            <w:r w:rsidRPr="00C8330C">
              <w:rPr>
                <w:rFonts w:ascii="Arial" w:hAnsi="Arial" w:cs="Arial"/>
                <w:b/>
                <w:bCs/>
                <w:sz w:val="20"/>
                <w:szCs w:val="20"/>
              </w:rPr>
              <w:br/>
              <w:t>(Graduados 2019)</w:t>
            </w:r>
          </w:p>
        </w:tc>
      </w:tr>
      <w:tr w:rsidR="002C4042" w:rsidRPr="00C8330C" w14:paraId="09923FF9" w14:textId="77777777" w:rsidTr="00165556">
        <w:trPr>
          <w:trHeight w:val="375"/>
          <w:jc w:val="center"/>
        </w:trPr>
        <w:tc>
          <w:tcPr>
            <w:tcW w:w="1264" w:type="pct"/>
            <w:shd w:val="clear" w:color="auto" w:fill="auto"/>
            <w:noWrap/>
            <w:vAlign w:val="center"/>
            <w:hideMark/>
          </w:tcPr>
          <w:p w14:paraId="7C2E987A" w14:textId="77777777" w:rsidR="002C4042" w:rsidRPr="00C8330C" w:rsidRDefault="002C4042" w:rsidP="00165556">
            <w:pPr>
              <w:rPr>
                <w:rFonts w:ascii="Arial" w:hAnsi="Arial" w:cs="Arial"/>
                <w:sz w:val="20"/>
                <w:szCs w:val="20"/>
              </w:rPr>
            </w:pPr>
            <w:r w:rsidRPr="00C8330C">
              <w:rPr>
                <w:rFonts w:ascii="Arial" w:hAnsi="Arial" w:cs="Arial"/>
                <w:sz w:val="20"/>
                <w:szCs w:val="20"/>
              </w:rPr>
              <w:t>Técnica Profesional</w:t>
            </w:r>
          </w:p>
        </w:tc>
        <w:tc>
          <w:tcPr>
            <w:tcW w:w="1246" w:type="pct"/>
            <w:shd w:val="clear" w:color="auto" w:fill="auto"/>
            <w:noWrap/>
            <w:vAlign w:val="center"/>
            <w:hideMark/>
          </w:tcPr>
          <w:p w14:paraId="229C6986" w14:textId="77777777" w:rsidR="002C4042" w:rsidRPr="00C8330C" w:rsidRDefault="002C4042" w:rsidP="00165556">
            <w:pPr>
              <w:rPr>
                <w:rFonts w:ascii="Arial" w:hAnsi="Arial" w:cs="Arial"/>
                <w:sz w:val="20"/>
                <w:szCs w:val="20"/>
              </w:rPr>
            </w:pPr>
            <w:r w:rsidRPr="00C8330C">
              <w:rPr>
                <w:rFonts w:ascii="Arial" w:hAnsi="Arial" w:cs="Arial"/>
                <w:sz w:val="20"/>
                <w:szCs w:val="20"/>
              </w:rPr>
              <w:t>Entre 1 y 1,5 SMMLV</w:t>
            </w:r>
          </w:p>
        </w:tc>
        <w:tc>
          <w:tcPr>
            <w:tcW w:w="1246" w:type="pct"/>
            <w:shd w:val="clear" w:color="auto" w:fill="auto"/>
            <w:noWrap/>
            <w:vAlign w:val="center"/>
            <w:hideMark/>
          </w:tcPr>
          <w:p w14:paraId="6588EE0D" w14:textId="77777777" w:rsidR="002C4042" w:rsidRPr="00C8330C" w:rsidRDefault="002C4042" w:rsidP="00165556">
            <w:pPr>
              <w:rPr>
                <w:rFonts w:ascii="Arial" w:hAnsi="Arial" w:cs="Arial"/>
                <w:sz w:val="20"/>
                <w:szCs w:val="20"/>
              </w:rPr>
            </w:pPr>
            <w:r w:rsidRPr="00C8330C">
              <w:rPr>
                <w:rFonts w:ascii="Arial" w:hAnsi="Arial" w:cs="Arial"/>
                <w:sz w:val="20"/>
                <w:szCs w:val="20"/>
              </w:rPr>
              <w:t>Entre 1 y 1,5 SMMLV</w:t>
            </w:r>
          </w:p>
        </w:tc>
        <w:tc>
          <w:tcPr>
            <w:tcW w:w="1243" w:type="pct"/>
            <w:shd w:val="clear" w:color="auto" w:fill="auto"/>
            <w:noWrap/>
            <w:vAlign w:val="center"/>
            <w:hideMark/>
          </w:tcPr>
          <w:p w14:paraId="512167A7" w14:textId="77777777" w:rsidR="002C4042" w:rsidRPr="00C8330C" w:rsidRDefault="002C4042" w:rsidP="00165556">
            <w:pPr>
              <w:rPr>
                <w:rFonts w:ascii="Arial" w:hAnsi="Arial" w:cs="Arial"/>
                <w:sz w:val="20"/>
                <w:szCs w:val="20"/>
              </w:rPr>
            </w:pPr>
            <w:r w:rsidRPr="00C8330C">
              <w:rPr>
                <w:rFonts w:ascii="Arial" w:hAnsi="Arial" w:cs="Arial"/>
                <w:sz w:val="20"/>
                <w:szCs w:val="20"/>
              </w:rPr>
              <w:t>Entre 1 y 1,5 SMMLV</w:t>
            </w:r>
          </w:p>
        </w:tc>
      </w:tr>
      <w:tr w:rsidR="002C4042" w:rsidRPr="00C8330C" w14:paraId="701714C3" w14:textId="77777777" w:rsidTr="00165556">
        <w:trPr>
          <w:trHeight w:val="375"/>
          <w:jc w:val="center"/>
        </w:trPr>
        <w:tc>
          <w:tcPr>
            <w:tcW w:w="1264" w:type="pct"/>
            <w:shd w:val="clear" w:color="auto" w:fill="auto"/>
            <w:noWrap/>
            <w:vAlign w:val="center"/>
            <w:hideMark/>
          </w:tcPr>
          <w:p w14:paraId="4AACDFD0" w14:textId="77777777" w:rsidR="002C4042" w:rsidRPr="00C8330C" w:rsidRDefault="002C4042" w:rsidP="00165556">
            <w:pPr>
              <w:rPr>
                <w:rFonts w:ascii="Arial" w:hAnsi="Arial" w:cs="Arial"/>
                <w:sz w:val="20"/>
                <w:szCs w:val="20"/>
              </w:rPr>
            </w:pPr>
            <w:r w:rsidRPr="00C8330C">
              <w:rPr>
                <w:rFonts w:ascii="Arial" w:hAnsi="Arial" w:cs="Arial"/>
                <w:sz w:val="20"/>
                <w:szCs w:val="20"/>
              </w:rPr>
              <w:t>Tecnológica</w:t>
            </w:r>
          </w:p>
        </w:tc>
        <w:tc>
          <w:tcPr>
            <w:tcW w:w="1246" w:type="pct"/>
            <w:shd w:val="clear" w:color="auto" w:fill="auto"/>
            <w:noWrap/>
            <w:vAlign w:val="center"/>
            <w:hideMark/>
          </w:tcPr>
          <w:p w14:paraId="65131CC8" w14:textId="77777777" w:rsidR="002C4042" w:rsidRPr="00C8330C" w:rsidRDefault="002C4042" w:rsidP="00165556">
            <w:pPr>
              <w:rPr>
                <w:rFonts w:ascii="Arial" w:hAnsi="Arial" w:cs="Arial"/>
                <w:sz w:val="20"/>
                <w:szCs w:val="20"/>
              </w:rPr>
            </w:pPr>
            <w:r w:rsidRPr="00C8330C">
              <w:rPr>
                <w:rFonts w:ascii="Arial" w:hAnsi="Arial" w:cs="Arial"/>
                <w:sz w:val="20"/>
                <w:szCs w:val="20"/>
              </w:rPr>
              <w:t>Entre 1 y 1,5 SMMLV</w:t>
            </w:r>
          </w:p>
        </w:tc>
        <w:tc>
          <w:tcPr>
            <w:tcW w:w="1246" w:type="pct"/>
            <w:shd w:val="clear" w:color="auto" w:fill="auto"/>
            <w:noWrap/>
            <w:vAlign w:val="center"/>
            <w:hideMark/>
          </w:tcPr>
          <w:p w14:paraId="294405EA" w14:textId="77777777" w:rsidR="002C4042" w:rsidRPr="00C8330C" w:rsidRDefault="002C4042" w:rsidP="00165556">
            <w:pPr>
              <w:rPr>
                <w:rFonts w:ascii="Arial" w:hAnsi="Arial" w:cs="Arial"/>
                <w:sz w:val="20"/>
                <w:szCs w:val="20"/>
              </w:rPr>
            </w:pPr>
            <w:r w:rsidRPr="00C8330C">
              <w:rPr>
                <w:rFonts w:ascii="Arial" w:hAnsi="Arial" w:cs="Arial"/>
                <w:sz w:val="20"/>
                <w:szCs w:val="20"/>
              </w:rPr>
              <w:t>Entre 1 y 1,5 SMMLV</w:t>
            </w:r>
          </w:p>
        </w:tc>
        <w:tc>
          <w:tcPr>
            <w:tcW w:w="1243" w:type="pct"/>
            <w:shd w:val="clear" w:color="auto" w:fill="auto"/>
            <w:noWrap/>
            <w:vAlign w:val="center"/>
            <w:hideMark/>
          </w:tcPr>
          <w:p w14:paraId="31A3B302" w14:textId="77777777" w:rsidR="002C4042" w:rsidRPr="00C8330C" w:rsidRDefault="002C4042" w:rsidP="00165556">
            <w:pPr>
              <w:rPr>
                <w:rFonts w:ascii="Arial" w:hAnsi="Arial" w:cs="Arial"/>
                <w:sz w:val="20"/>
                <w:szCs w:val="20"/>
              </w:rPr>
            </w:pPr>
            <w:r w:rsidRPr="00C8330C">
              <w:rPr>
                <w:rFonts w:ascii="Arial" w:hAnsi="Arial" w:cs="Arial"/>
                <w:sz w:val="20"/>
                <w:szCs w:val="20"/>
              </w:rPr>
              <w:t>Entre 1 y 1,5 SMMLV</w:t>
            </w:r>
          </w:p>
        </w:tc>
      </w:tr>
      <w:tr w:rsidR="002C4042" w:rsidRPr="00C8330C" w14:paraId="58E96E6A" w14:textId="77777777" w:rsidTr="00165556">
        <w:trPr>
          <w:trHeight w:val="375"/>
          <w:jc w:val="center"/>
        </w:trPr>
        <w:tc>
          <w:tcPr>
            <w:tcW w:w="1264" w:type="pct"/>
            <w:shd w:val="clear" w:color="auto" w:fill="auto"/>
            <w:noWrap/>
            <w:vAlign w:val="center"/>
            <w:hideMark/>
          </w:tcPr>
          <w:p w14:paraId="40847028" w14:textId="77777777" w:rsidR="002C4042" w:rsidRPr="00C8330C" w:rsidRDefault="002C4042" w:rsidP="00165556">
            <w:pPr>
              <w:rPr>
                <w:rFonts w:ascii="Arial" w:hAnsi="Arial" w:cs="Arial"/>
                <w:sz w:val="20"/>
                <w:szCs w:val="20"/>
              </w:rPr>
            </w:pPr>
            <w:r w:rsidRPr="00C8330C">
              <w:rPr>
                <w:rFonts w:ascii="Arial" w:hAnsi="Arial" w:cs="Arial"/>
                <w:sz w:val="20"/>
                <w:szCs w:val="20"/>
              </w:rPr>
              <w:t>Universitaria</w:t>
            </w:r>
          </w:p>
        </w:tc>
        <w:tc>
          <w:tcPr>
            <w:tcW w:w="1246" w:type="pct"/>
            <w:shd w:val="clear" w:color="auto" w:fill="auto"/>
            <w:noWrap/>
            <w:vAlign w:val="center"/>
            <w:hideMark/>
          </w:tcPr>
          <w:p w14:paraId="33CF76FD" w14:textId="77777777" w:rsidR="002C4042" w:rsidRPr="00C8330C" w:rsidRDefault="002C4042" w:rsidP="00165556">
            <w:pPr>
              <w:rPr>
                <w:rFonts w:ascii="Arial" w:hAnsi="Arial" w:cs="Arial"/>
                <w:sz w:val="20"/>
                <w:szCs w:val="20"/>
              </w:rPr>
            </w:pPr>
            <w:r w:rsidRPr="00C8330C">
              <w:rPr>
                <w:rFonts w:ascii="Arial" w:hAnsi="Arial" w:cs="Arial"/>
                <w:sz w:val="20"/>
                <w:szCs w:val="20"/>
              </w:rPr>
              <w:t>Entre 1,5 y 2 SMMLV</w:t>
            </w:r>
          </w:p>
        </w:tc>
        <w:tc>
          <w:tcPr>
            <w:tcW w:w="1246" w:type="pct"/>
            <w:shd w:val="clear" w:color="auto" w:fill="auto"/>
            <w:noWrap/>
            <w:vAlign w:val="center"/>
            <w:hideMark/>
          </w:tcPr>
          <w:p w14:paraId="39149430" w14:textId="77777777" w:rsidR="002C4042" w:rsidRPr="00C8330C" w:rsidRDefault="002C4042" w:rsidP="00165556">
            <w:pPr>
              <w:rPr>
                <w:rFonts w:ascii="Arial" w:hAnsi="Arial" w:cs="Arial"/>
                <w:sz w:val="20"/>
                <w:szCs w:val="20"/>
              </w:rPr>
            </w:pPr>
            <w:r w:rsidRPr="00C8330C">
              <w:rPr>
                <w:rFonts w:ascii="Arial" w:hAnsi="Arial" w:cs="Arial"/>
                <w:sz w:val="20"/>
                <w:szCs w:val="20"/>
              </w:rPr>
              <w:t>Entre 1,5 y 2 SMMLV</w:t>
            </w:r>
          </w:p>
        </w:tc>
        <w:tc>
          <w:tcPr>
            <w:tcW w:w="1243" w:type="pct"/>
            <w:shd w:val="clear" w:color="auto" w:fill="auto"/>
            <w:noWrap/>
            <w:vAlign w:val="center"/>
            <w:hideMark/>
          </w:tcPr>
          <w:p w14:paraId="6585CBD4" w14:textId="77777777" w:rsidR="002C4042" w:rsidRPr="00C8330C" w:rsidRDefault="002C4042" w:rsidP="00165556">
            <w:pPr>
              <w:rPr>
                <w:rFonts w:ascii="Arial" w:hAnsi="Arial" w:cs="Arial"/>
                <w:sz w:val="20"/>
                <w:szCs w:val="20"/>
              </w:rPr>
            </w:pPr>
            <w:r w:rsidRPr="00C8330C">
              <w:rPr>
                <w:rFonts w:ascii="Arial" w:hAnsi="Arial" w:cs="Arial"/>
                <w:sz w:val="20"/>
                <w:szCs w:val="20"/>
              </w:rPr>
              <w:t>Entre 1,5 y 2 SMMLV</w:t>
            </w:r>
          </w:p>
        </w:tc>
      </w:tr>
      <w:tr w:rsidR="002C4042" w:rsidRPr="00C8330C" w14:paraId="74794EF1" w14:textId="77777777" w:rsidTr="00165556">
        <w:trPr>
          <w:trHeight w:val="375"/>
          <w:jc w:val="center"/>
        </w:trPr>
        <w:tc>
          <w:tcPr>
            <w:tcW w:w="1264" w:type="pct"/>
            <w:shd w:val="clear" w:color="auto" w:fill="auto"/>
            <w:noWrap/>
            <w:vAlign w:val="center"/>
            <w:hideMark/>
          </w:tcPr>
          <w:p w14:paraId="0E3DAFA7" w14:textId="77777777" w:rsidR="002C4042" w:rsidRPr="00C8330C" w:rsidRDefault="002C4042" w:rsidP="00165556">
            <w:pPr>
              <w:rPr>
                <w:rFonts w:ascii="Arial" w:hAnsi="Arial" w:cs="Arial"/>
                <w:sz w:val="20"/>
                <w:szCs w:val="20"/>
              </w:rPr>
            </w:pPr>
            <w:r w:rsidRPr="00C8330C">
              <w:rPr>
                <w:rFonts w:ascii="Arial" w:hAnsi="Arial" w:cs="Arial"/>
                <w:sz w:val="20"/>
                <w:szCs w:val="20"/>
              </w:rPr>
              <w:t>Especialización</w:t>
            </w:r>
          </w:p>
        </w:tc>
        <w:tc>
          <w:tcPr>
            <w:tcW w:w="1246" w:type="pct"/>
            <w:shd w:val="clear" w:color="auto" w:fill="auto"/>
            <w:noWrap/>
            <w:vAlign w:val="center"/>
            <w:hideMark/>
          </w:tcPr>
          <w:p w14:paraId="6F8856A8" w14:textId="77777777" w:rsidR="002C4042" w:rsidRPr="00C8330C" w:rsidRDefault="002C4042" w:rsidP="00165556">
            <w:pPr>
              <w:rPr>
                <w:rFonts w:ascii="Arial" w:hAnsi="Arial" w:cs="Arial"/>
                <w:sz w:val="20"/>
                <w:szCs w:val="20"/>
              </w:rPr>
            </w:pPr>
            <w:r w:rsidRPr="00C8330C">
              <w:rPr>
                <w:rFonts w:ascii="Arial" w:hAnsi="Arial" w:cs="Arial"/>
                <w:sz w:val="20"/>
                <w:szCs w:val="20"/>
              </w:rPr>
              <w:t>Entre 3 y 3,5 SMMLV</w:t>
            </w:r>
          </w:p>
        </w:tc>
        <w:tc>
          <w:tcPr>
            <w:tcW w:w="1246" w:type="pct"/>
            <w:shd w:val="clear" w:color="auto" w:fill="auto"/>
            <w:noWrap/>
            <w:vAlign w:val="center"/>
            <w:hideMark/>
          </w:tcPr>
          <w:p w14:paraId="5C7165B0" w14:textId="77777777" w:rsidR="002C4042" w:rsidRPr="00C8330C" w:rsidRDefault="002C4042" w:rsidP="00165556">
            <w:pPr>
              <w:rPr>
                <w:rFonts w:ascii="Arial" w:hAnsi="Arial" w:cs="Arial"/>
                <w:sz w:val="20"/>
                <w:szCs w:val="20"/>
              </w:rPr>
            </w:pPr>
            <w:r w:rsidRPr="00C8330C">
              <w:rPr>
                <w:rFonts w:ascii="Arial" w:hAnsi="Arial" w:cs="Arial"/>
                <w:sz w:val="20"/>
                <w:szCs w:val="20"/>
              </w:rPr>
              <w:t>Entre 2,5 y 3 SMMLV</w:t>
            </w:r>
          </w:p>
        </w:tc>
        <w:tc>
          <w:tcPr>
            <w:tcW w:w="1243" w:type="pct"/>
            <w:shd w:val="clear" w:color="auto" w:fill="auto"/>
            <w:noWrap/>
            <w:vAlign w:val="center"/>
            <w:hideMark/>
          </w:tcPr>
          <w:p w14:paraId="0556F81E" w14:textId="77777777" w:rsidR="002C4042" w:rsidRPr="00C8330C" w:rsidRDefault="002C4042" w:rsidP="00165556">
            <w:pPr>
              <w:rPr>
                <w:rFonts w:ascii="Arial" w:hAnsi="Arial" w:cs="Arial"/>
                <w:sz w:val="20"/>
                <w:szCs w:val="20"/>
              </w:rPr>
            </w:pPr>
            <w:r w:rsidRPr="00C8330C">
              <w:rPr>
                <w:rFonts w:ascii="Arial" w:hAnsi="Arial" w:cs="Arial"/>
                <w:sz w:val="20"/>
                <w:szCs w:val="20"/>
              </w:rPr>
              <w:t>Entre 2,5 y 3 SMMLV</w:t>
            </w:r>
          </w:p>
        </w:tc>
      </w:tr>
      <w:tr w:rsidR="002C4042" w:rsidRPr="00C8330C" w14:paraId="6377DB36" w14:textId="77777777" w:rsidTr="00165556">
        <w:trPr>
          <w:trHeight w:val="375"/>
          <w:jc w:val="center"/>
        </w:trPr>
        <w:tc>
          <w:tcPr>
            <w:tcW w:w="1264" w:type="pct"/>
            <w:shd w:val="clear" w:color="auto" w:fill="auto"/>
            <w:noWrap/>
            <w:vAlign w:val="center"/>
            <w:hideMark/>
          </w:tcPr>
          <w:p w14:paraId="6CD66EA8" w14:textId="77777777" w:rsidR="002C4042" w:rsidRPr="00C8330C" w:rsidRDefault="002C4042" w:rsidP="00165556">
            <w:pPr>
              <w:rPr>
                <w:rFonts w:ascii="Arial" w:hAnsi="Arial" w:cs="Arial"/>
                <w:sz w:val="20"/>
                <w:szCs w:val="20"/>
              </w:rPr>
            </w:pPr>
            <w:r w:rsidRPr="00C8330C">
              <w:rPr>
                <w:rFonts w:ascii="Arial" w:hAnsi="Arial" w:cs="Arial"/>
                <w:sz w:val="20"/>
                <w:szCs w:val="20"/>
              </w:rPr>
              <w:t>Maestría</w:t>
            </w:r>
          </w:p>
        </w:tc>
        <w:tc>
          <w:tcPr>
            <w:tcW w:w="1246" w:type="pct"/>
            <w:shd w:val="clear" w:color="auto" w:fill="auto"/>
            <w:noWrap/>
            <w:vAlign w:val="center"/>
            <w:hideMark/>
          </w:tcPr>
          <w:p w14:paraId="79600DA7" w14:textId="77777777" w:rsidR="002C4042" w:rsidRPr="00C8330C" w:rsidRDefault="002C4042" w:rsidP="00165556">
            <w:pPr>
              <w:rPr>
                <w:rFonts w:ascii="Arial" w:hAnsi="Arial" w:cs="Arial"/>
                <w:sz w:val="20"/>
                <w:szCs w:val="20"/>
              </w:rPr>
            </w:pPr>
            <w:r w:rsidRPr="00C8330C">
              <w:rPr>
                <w:rFonts w:ascii="Arial" w:hAnsi="Arial" w:cs="Arial"/>
                <w:sz w:val="20"/>
                <w:szCs w:val="20"/>
              </w:rPr>
              <w:t>Entre 4 y 4,5 SMMLV</w:t>
            </w:r>
          </w:p>
        </w:tc>
        <w:tc>
          <w:tcPr>
            <w:tcW w:w="1246" w:type="pct"/>
            <w:shd w:val="clear" w:color="auto" w:fill="auto"/>
            <w:noWrap/>
            <w:vAlign w:val="center"/>
            <w:hideMark/>
          </w:tcPr>
          <w:p w14:paraId="74F8ABC9" w14:textId="77777777" w:rsidR="002C4042" w:rsidRPr="00C8330C" w:rsidRDefault="002C4042" w:rsidP="00165556">
            <w:pPr>
              <w:rPr>
                <w:rFonts w:ascii="Arial" w:hAnsi="Arial" w:cs="Arial"/>
                <w:sz w:val="20"/>
                <w:szCs w:val="20"/>
              </w:rPr>
            </w:pPr>
            <w:r w:rsidRPr="00C8330C">
              <w:rPr>
                <w:rFonts w:ascii="Arial" w:hAnsi="Arial" w:cs="Arial"/>
                <w:sz w:val="20"/>
                <w:szCs w:val="20"/>
              </w:rPr>
              <w:t>Entre 4 y 4,5 SMMLV</w:t>
            </w:r>
          </w:p>
        </w:tc>
        <w:tc>
          <w:tcPr>
            <w:tcW w:w="1243" w:type="pct"/>
            <w:shd w:val="clear" w:color="auto" w:fill="auto"/>
            <w:noWrap/>
            <w:vAlign w:val="center"/>
            <w:hideMark/>
          </w:tcPr>
          <w:p w14:paraId="02E3426C" w14:textId="77777777" w:rsidR="002C4042" w:rsidRPr="00C8330C" w:rsidRDefault="002C4042" w:rsidP="00165556">
            <w:pPr>
              <w:rPr>
                <w:rFonts w:ascii="Arial" w:hAnsi="Arial" w:cs="Arial"/>
                <w:sz w:val="20"/>
                <w:szCs w:val="20"/>
              </w:rPr>
            </w:pPr>
            <w:r w:rsidRPr="00C8330C">
              <w:rPr>
                <w:rFonts w:ascii="Arial" w:hAnsi="Arial" w:cs="Arial"/>
                <w:sz w:val="20"/>
                <w:szCs w:val="20"/>
              </w:rPr>
              <w:t>Entre 3,5 y 4 SMMLV</w:t>
            </w:r>
          </w:p>
        </w:tc>
      </w:tr>
      <w:tr w:rsidR="002C4042" w:rsidRPr="00C8330C" w14:paraId="7FA3E59D" w14:textId="77777777" w:rsidTr="00165556">
        <w:trPr>
          <w:trHeight w:val="390"/>
          <w:jc w:val="center"/>
        </w:trPr>
        <w:tc>
          <w:tcPr>
            <w:tcW w:w="1264" w:type="pct"/>
            <w:shd w:val="clear" w:color="auto" w:fill="auto"/>
            <w:noWrap/>
            <w:vAlign w:val="center"/>
            <w:hideMark/>
          </w:tcPr>
          <w:p w14:paraId="08218662" w14:textId="77777777" w:rsidR="002C4042" w:rsidRPr="00C8330C" w:rsidRDefault="002C4042" w:rsidP="00165556">
            <w:pPr>
              <w:rPr>
                <w:rFonts w:ascii="Arial" w:hAnsi="Arial" w:cs="Arial"/>
                <w:sz w:val="20"/>
                <w:szCs w:val="20"/>
              </w:rPr>
            </w:pPr>
            <w:r w:rsidRPr="00C8330C">
              <w:rPr>
                <w:rFonts w:ascii="Arial" w:hAnsi="Arial" w:cs="Arial"/>
                <w:sz w:val="20"/>
                <w:szCs w:val="20"/>
              </w:rPr>
              <w:t>Doctorado</w:t>
            </w:r>
          </w:p>
        </w:tc>
        <w:tc>
          <w:tcPr>
            <w:tcW w:w="1246" w:type="pct"/>
            <w:shd w:val="clear" w:color="auto" w:fill="auto"/>
            <w:noWrap/>
            <w:vAlign w:val="center"/>
            <w:hideMark/>
          </w:tcPr>
          <w:p w14:paraId="092D06F7" w14:textId="77777777" w:rsidR="002C4042" w:rsidRPr="00C8330C" w:rsidRDefault="002C4042" w:rsidP="00165556">
            <w:pPr>
              <w:rPr>
                <w:rFonts w:ascii="Arial" w:hAnsi="Arial" w:cs="Arial"/>
                <w:sz w:val="20"/>
                <w:szCs w:val="20"/>
              </w:rPr>
            </w:pPr>
            <w:r w:rsidRPr="00C8330C">
              <w:rPr>
                <w:rFonts w:ascii="Arial" w:hAnsi="Arial" w:cs="Arial"/>
                <w:sz w:val="20"/>
                <w:szCs w:val="20"/>
              </w:rPr>
              <w:t>Entre 8 y 9 SMMLV </w:t>
            </w:r>
          </w:p>
        </w:tc>
        <w:tc>
          <w:tcPr>
            <w:tcW w:w="1246" w:type="pct"/>
            <w:shd w:val="clear" w:color="auto" w:fill="auto"/>
            <w:noWrap/>
            <w:vAlign w:val="center"/>
            <w:hideMark/>
          </w:tcPr>
          <w:p w14:paraId="1F70EF66" w14:textId="77777777" w:rsidR="002C4042" w:rsidRPr="00C8330C" w:rsidRDefault="002C4042" w:rsidP="00165556">
            <w:pPr>
              <w:rPr>
                <w:rFonts w:ascii="Arial" w:hAnsi="Arial" w:cs="Arial"/>
                <w:sz w:val="20"/>
                <w:szCs w:val="20"/>
              </w:rPr>
            </w:pPr>
            <w:r w:rsidRPr="00C8330C">
              <w:rPr>
                <w:rFonts w:ascii="Arial" w:hAnsi="Arial" w:cs="Arial"/>
                <w:sz w:val="20"/>
                <w:szCs w:val="20"/>
              </w:rPr>
              <w:t>Entre 7 y 8 SMMLV</w:t>
            </w:r>
          </w:p>
        </w:tc>
        <w:tc>
          <w:tcPr>
            <w:tcW w:w="1243" w:type="pct"/>
            <w:shd w:val="clear" w:color="auto" w:fill="auto"/>
            <w:noWrap/>
            <w:vAlign w:val="center"/>
            <w:hideMark/>
          </w:tcPr>
          <w:p w14:paraId="4A9CE256" w14:textId="77777777" w:rsidR="002C4042" w:rsidRPr="00C8330C" w:rsidRDefault="002C4042" w:rsidP="00165556">
            <w:pPr>
              <w:rPr>
                <w:rFonts w:ascii="Arial" w:hAnsi="Arial" w:cs="Arial"/>
                <w:sz w:val="20"/>
                <w:szCs w:val="20"/>
              </w:rPr>
            </w:pPr>
            <w:r w:rsidRPr="00C8330C">
              <w:rPr>
                <w:rFonts w:ascii="Arial" w:hAnsi="Arial" w:cs="Arial"/>
                <w:sz w:val="20"/>
                <w:szCs w:val="20"/>
              </w:rPr>
              <w:t>Entre 6 y 7 SMMLV</w:t>
            </w:r>
          </w:p>
        </w:tc>
      </w:tr>
    </w:tbl>
    <w:p w14:paraId="4DACB936" w14:textId="77777777" w:rsidR="002C4042" w:rsidRPr="00C8330C" w:rsidRDefault="002C4042" w:rsidP="002C4042">
      <w:pPr>
        <w:rPr>
          <w:rFonts w:ascii="Arial" w:hAnsi="Arial" w:cs="Arial"/>
          <w:color w:val="808080" w:themeColor="background1" w:themeShade="80"/>
          <w:sz w:val="16"/>
          <w:szCs w:val="16"/>
        </w:rPr>
      </w:pPr>
      <w:r w:rsidRPr="00C8330C">
        <w:rPr>
          <w:rFonts w:ascii="Arial" w:hAnsi="Arial" w:cs="Arial"/>
          <w:color w:val="808080" w:themeColor="background1" w:themeShade="80"/>
          <w:sz w:val="16"/>
          <w:szCs w:val="16"/>
        </w:rPr>
        <w:t>Fuente: MEN - OLE</w:t>
      </w:r>
    </w:p>
    <w:p w14:paraId="764A2C26" w14:textId="77777777" w:rsidR="002C4042" w:rsidRDefault="002C4042" w:rsidP="002C4042">
      <w:pPr>
        <w:jc w:val="both"/>
      </w:pPr>
    </w:p>
    <w:p w14:paraId="168C9E5A" w14:textId="77777777" w:rsidR="002C4042" w:rsidRPr="00866D09" w:rsidRDefault="002C4042" w:rsidP="002C4042">
      <w:pPr>
        <w:pStyle w:val="Prrafodelista"/>
        <w:numPr>
          <w:ilvl w:val="0"/>
          <w:numId w:val="1"/>
        </w:numPr>
        <w:jc w:val="both"/>
        <w:rPr>
          <w:b/>
          <w:bCs/>
        </w:rPr>
      </w:pPr>
      <w:r w:rsidRPr="00866D09">
        <w:rPr>
          <w:b/>
          <w:bCs/>
        </w:rPr>
        <w:t>Inversión en ciencia y tecnología:</w:t>
      </w:r>
    </w:p>
    <w:p w14:paraId="2BA38F94" w14:textId="77777777" w:rsidR="002C4042" w:rsidRDefault="002C4042" w:rsidP="002C4042">
      <w:pPr>
        <w:jc w:val="both"/>
      </w:pPr>
    </w:p>
    <w:p w14:paraId="3CC7F30A" w14:textId="77777777" w:rsidR="002C4042" w:rsidRDefault="002C4042" w:rsidP="002C4042">
      <w:pPr>
        <w:jc w:val="both"/>
      </w:pPr>
      <w:r w:rsidRPr="00504425">
        <w:t xml:space="preserve">De acuerdo con el informe de resultados de la Fase I de la Misión de Sabios por Caldas- 2020-2021, la inversión en Ciencia, Tecnología e Innovación en Caldas aún es baja. </w:t>
      </w:r>
      <w:r>
        <w:t>A la fecha,</w:t>
      </w:r>
      <w:r w:rsidRPr="00504425">
        <w:t xml:space="preserve"> </w:t>
      </w:r>
      <w:r>
        <w:t xml:space="preserve">el </w:t>
      </w:r>
      <w:r w:rsidRPr="00504425">
        <w:t>Min</w:t>
      </w:r>
      <w:r>
        <w:t>isterio de</w:t>
      </w:r>
      <w:r w:rsidRPr="00504425">
        <w:t xml:space="preserve"> </w:t>
      </w:r>
      <w:r>
        <w:t>C</w:t>
      </w:r>
      <w:r w:rsidRPr="00504425">
        <w:t xml:space="preserve">iencias reporta que del total de inversión nacional, Caldas tiene </w:t>
      </w:r>
      <w:r>
        <w:t xml:space="preserve">solamente </w:t>
      </w:r>
      <w:r w:rsidRPr="00504425">
        <w:t>un 0.5%</w:t>
      </w:r>
      <w:r>
        <w:t xml:space="preserve"> en ciencia y tecnología</w:t>
      </w:r>
      <w:r w:rsidRPr="00504425">
        <w:t>.</w:t>
      </w:r>
    </w:p>
    <w:p w14:paraId="5DC38B0A" w14:textId="77777777" w:rsidR="002C4042" w:rsidRDefault="002C4042" w:rsidP="002C4042">
      <w:pPr>
        <w:jc w:val="both"/>
      </w:pPr>
    </w:p>
    <w:p w14:paraId="31B9F89E" w14:textId="77777777" w:rsidR="002C4042" w:rsidRDefault="002C4042" w:rsidP="002C4042">
      <w:pPr>
        <w:jc w:val="both"/>
      </w:pPr>
      <w:r>
        <w:t>E</w:t>
      </w:r>
      <w:r w:rsidRPr="00504425">
        <w:t>l Departamento de Caldas cuenta con 168 grupos de investigación que representan el 2.9% de los grupos de investigación registrados en el país</w:t>
      </w:r>
      <w:r>
        <w:t xml:space="preserve">, donde </w:t>
      </w:r>
      <w:r w:rsidRPr="00504425">
        <w:t xml:space="preserve">de los 630 investigadores reconocidos por </w:t>
      </w:r>
      <w:r>
        <w:t xml:space="preserve">el </w:t>
      </w:r>
      <w:r w:rsidRPr="00504425">
        <w:t>Min</w:t>
      </w:r>
      <w:r>
        <w:t>isterio de C</w:t>
      </w:r>
      <w:r w:rsidRPr="00504425">
        <w:t>iencias</w:t>
      </w:r>
      <w:r>
        <w:t xml:space="preserve"> en el departamento</w:t>
      </w:r>
      <w:r w:rsidRPr="00504425">
        <w:t>, 339 tienen doctorado, 205 maestría, 5 especialización médica, 9 especialización, y 12 pregrado.</w:t>
      </w:r>
    </w:p>
    <w:p w14:paraId="46839426" w14:textId="77777777" w:rsidR="002C4042" w:rsidRDefault="002C4042" w:rsidP="002C4042">
      <w:pPr>
        <w:jc w:val="both"/>
      </w:pPr>
    </w:p>
    <w:p w14:paraId="40D74BF9" w14:textId="77777777" w:rsidR="002C4042" w:rsidRDefault="002C4042" w:rsidP="002C4042">
      <w:pPr>
        <w:jc w:val="both"/>
      </w:pPr>
      <w:r>
        <w:t>Para</w:t>
      </w:r>
      <w:r w:rsidRPr="00504425">
        <w:t xml:space="preserve"> el año 2020, el Departamento </w:t>
      </w:r>
      <w:r>
        <w:t>contó</w:t>
      </w:r>
      <w:r w:rsidRPr="00504425">
        <w:t xml:space="preserve"> con 30 patentes concedidas, 20 en concesión y 1 con diseño </w:t>
      </w:r>
      <w:r>
        <w:t>industrial, todas provenientes de Instituciones de Educación Superior.</w:t>
      </w:r>
    </w:p>
    <w:p w14:paraId="1E8A64F4" w14:textId="77777777" w:rsidR="002C4042" w:rsidRDefault="002C4042" w:rsidP="002C4042">
      <w:pPr>
        <w:jc w:val="both"/>
      </w:pPr>
    </w:p>
    <w:p w14:paraId="3E4FA1C8" w14:textId="77777777" w:rsidR="002C4042" w:rsidRPr="00866D09" w:rsidRDefault="002C4042" w:rsidP="002C4042">
      <w:pPr>
        <w:pStyle w:val="Prrafodelista"/>
        <w:numPr>
          <w:ilvl w:val="0"/>
          <w:numId w:val="1"/>
        </w:numPr>
        <w:jc w:val="both"/>
        <w:rPr>
          <w:b/>
          <w:bCs/>
        </w:rPr>
      </w:pPr>
      <w:r w:rsidRPr="00866D09">
        <w:rPr>
          <w:b/>
          <w:bCs/>
        </w:rPr>
        <w:t>Competitividad:</w:t>
      </w:r>
    </w:p>
    <w:p w14:paraId="0FFE57E4" w14:textId="77777777" w:rsidR="002C4042" w:rsidRDefault="002C4042" w:rsidP="002C4042">
      <w:pPr>
        <w:jc w:val="both"/>
      </w:pPr>
    </w:p>
    <w:p w14:paraId="2B7E7E53" w14:textId="655DC896" w:rsidR="002C4042" w:rsidRDefault="002C4042" w:rsidP="002C4042">
      <w:pPr>
        <w:jc w:val="both"/>
      </w:pPr>
      <w:r>
        <w:t xml:space="preserve">En el Índice de Competitividad Departamental, Caldas se destaca en el puesto No. 7, jalonado entre otros pilares, por el pilar de innovación, en el que ocupa la tercera posición luego de Bogotá D.C y Antioquia. El departamento además ocupa el segundo lugar de la medición en los indicadores de investigación de alta calidad, revistas indexadas en </w:t>
      </w:r>
      <w:proofErr w:type="spellStart"/>
      <w:r>
        <w:t>publindex</w:t>
      </w:r>
      <w:proofErr w:type="spellEnd"/>
      <w:r>
        <w:t>, investigadores per cápita y modelos de utilidad.</w:t>
      </w:r>
    </w:p>
    <w:p w14:paraId="2EC10E58" w14:textId="77777777" w:rsidR="002C4042" w:rsidRDefault="002C4042" w:rsidP="002C4042">
      <w:pPr>
        <w:jc w:val="both"/>
      </w:pPr>
    </w:p>
    <w:p w14:paraId="3F5017CA" w14:textId="77777777" w:rsidR="002C4042" w:rsidRDefault="002C4042" w:rsidP="002C4042">
      <w:pPr>
        <w:jc w:val="both"/>
      </w:pPr>
      <w:r>
        <w:t xml:space="preserve">El </w:t>
      </w:r>
      <w:proofErr w:type="spellStart"/>
      <w:r>
        <w:t>subpilar</w:t>
      </w:r>
      <w:proofErr w:type="spellEnd"/>
      <w:r>
        <w:t xml:space="preserve"> ‘investigación de alta calidad’ incluye indicadores de número de grupos de investigación reconocidos, publicaciones en revistas de alta calidad, así como los recursos humanos y presupuestales para la investigación. Tan solo el 39% de los departamentos (13 de 33) se encuentran por encima del promedio nacional. La brecha en el </w:t>
      </w:r>
      <w:proofErr w:type="spellStart"/>
      <w:r>
        <w:t>subpilar</w:t>
      </w:r>
      <w:proofErr w:type="spellEnd"/>
      <w:r>
        <w:t xml:space="preserve"> de investigación de alta calidad es sobresaliente, muestra de ello es que Bogotá registra un puntaje de 8,95, en el segundo lugar Caldas obtiene 6,42 y el 61 % de los departamentos están por debajo de 2,78.</w:t>
      </w:r>
    </w:p>
    <w:p w14:paraId="7EAD87B5" w14:textId="77777777" w:rsidR="002C4042" w:rsidRDefault="002C4042" w:rsidP="002C4042">
      <w:pPr>
        <w:jc w:val="both"/>
      </w:pPr>
    </w:p>
    <w:p w14:paraId="623C1719" w14:textId="77777777" w:rsidR="002C4042" w:rsidRDefault="002C4042" w:rsidP="002C4042">
      <w:pPr>
        <w:jc w:val="both"/>
      </w:pPr>
      <w:r>
        <w:t xml:space="preserve">De igual manera, Manizales su capital, en el índice de Competitividad de Ciudades, se ubica en el puesto No. 6. Se destaca en el pilar de educación superior y formación para el trabajo con una calificación de 7,72 sobre 10. Manizales AM avanza en tres posiciones y ocupa la primera posición del pilar. Esta área metropolitana lidera el </w:t>
      </w:r>
      <w:proofErr w:type="spellStart"/>
      <w:r>
        <w:t>subpilar</w:t>
      </w:r>
      <w:proofErr w:type="spellEnd"/>
      <w:r>
        <w:t xml:space="preserve"> de calidad de la educación superior gracias al buen desempeño en el indicador de cobertura de instituciones de educación superior con acreditación de alta calidad, en el que ocupa el segundo puesto a nivel nacional, con una puntuación de 9,48 sobre 10. Así mismo, se destaca en el indicador calidad de los docentes de educación superior, ocupando la tercera posición entre las 32 ciudades evaluadas.</w:t>
      </w:r>
    </w:p>
    <w:p w14:paraId="364F0D19" w14:textId="77777777" w:rsidR="002C4042" w:rsidRDefault="002C4042" w:rsidP="002C4042">
      <w:pPr>
        <w:jc w:val="both"/>
      </w:pPr>
    </w:p>
    <w:p w14:paraId="11B64AF5" w14:textId="77777777" w:rsidR="002C4042" w:rsidRPr="00866D09" w:rsidRDefault="002C4042" w:rsidP="002C4042">
      <w:pPr>
        <w:pStyle w:val="Prrafodelista"/>
        <w:numPr>
          <w:ilvl w:val="0"/>
          <w:numId w:val="1"/>
        </w:numPr>
        <w:jc w:val="both"/>
        <w:rPr>
          <w:b/>
          <w:bCs/>
        </w:rPr>
      </w:pPr>
      <w:r w:rsidRPr="00866D09">
        <w:rPr>
          <w:b/>
          <w:bCs/>
        </w:rPr>
        <w:t>Aprendizaje del Sistema Universitario de Manizales (SUMA):</w:t>
      </w:r>
    </w:p>
    <w:p w14:paraId="19664870" w14:textId="77777777" w:rsidR="002C4042" w:rsidRDefault="002C4042" w:rsidP="002C4042">
      <w:pPr>
        <w:jc w:val="both"/>
      </w:pPr>
    </w:p>
    <w:p w14:paraId="03F5A358" w14:textId="77777777" w:rsidR="002C4042" w:rsidRDefault="002C4042" w:rsidP="002C4042">
      <w:pPr>
        <w:jc w:val="both"/>
      </w:pPr>
      <w:r>
        <w:t>El Sistema Universitario de Manizales (SUMA) es una alianza entre las 6 principales universidades de la ciudad que trabajan permanentemente en la generación de esfuerzos conjuntos de cooperación hacia la ejecución de proyectos de investigación, formación y extensión.</w:t>
      </w:r>
    </w:p>
    <w:p w14:paraId="0188125B" w14:textId="77777777" w:rsidR="002C4042" w:rsidRDefault="002C4042" w:rsidP="002C4042">
      <w:pPr>
        <w:jc w:val="both"/>
      </w:pPr>
    </w:p>
    <w:p w14:paraId="5C34E70D" w14:textId="77777777" w:rsidR="002C4042" w:rsidRDefault="002C4042" w:rsidP="002C4042">
      <w:pPr>
        <w:jc w:val="both"/>
      </w:pPr>
      <w:r>
        <w:t>La alianza SUMA es altamente beneficiosa para la comunidad, pues la integración de recursos humanos, técnicos y físicos con que cuenta cada universidad, genera mayor calidad, cobertura y eficiencia para el cumplimiento de sus objetivos. El Sistema Universitario de Manizales está constituido por: Universidad Nacional de Colombia, sede Manizales; Universidad de Caldas; Universidad Católica Luis Amigó; Universidad Católica de Manizales; Universidad Autónoma de Manizales y Universidad de Manizales.</w:t>
      </w:r>
    </w:p>
    <w:p w14:paraId="7490CE30" w14:textId="77777777" w:rsidR="002C4042" w:rsidRDefault="002C4042" w:rsidP="002C4042">
      <w:pPr>
        <w:jc w:val="both"/>
      </w:pPr>
    </w:p>
    <w:p w14:paraId="72430564" w14:textId="77777777" w:rsidR="002C4042" w:rsidRDefault="002C4042" w:rsidP="002C4042">
      <w:pPr>
        <w:jc w:val="both"/>
      </w:pPr>
      <w:r>
        <w:t xml:space="preserve">Otras iniciativas importantes de destacar en la ciudad es el Programa Universidad en Tu Colegio, a cargo de la Fundación </w:t>
      </w:r>
      <w:proofErr w:type="spellStart"/>
      <w:r>
        <w:t>Luker</w:t>
      </w:r>
      <w:proofErr w:type="spellEnd"/>
      <w:r>
        <w:t xml:space="preserve">, el cual facilita el acceso a programas de formación técnica y tecnológica a jóvenes de colegios oficiales con Universidades e Instituciones para el trabajo y el desarrollo humano de la región. Los programas son pertinentes a las necesidades del sector empresarial y se desarrollan mientras los estudiantes cursan grado 10° y 11° en </w:t>
      </w:r>
      <w:proofErr w:type="spellStart"/>
      <w:r>
        <w:t>contrajornada</w:t>
      </w:r>
      <w:proofErr w:type="spellEnd"/>
      <w:r>
        <w:t xml:space="preserve"> en los colegios, pues los profesores universitarios se desplazan a éstos.</w:t>
      </w:r>
    </w:p>
    <w:p w14:paraId="1032B435" w14:textId="77777777" w:rsidR="002C4042" w:rsidRDefault="002C4042" w:rsidP="002C4042">
      <w:pPr>
        <w:jc w:val="both"/>
      </w:pPr>
    </w:p>
    <w:p w14:paraId="043817DE" w14:textId="77777777" w:rsidR="002C4042" w:rsidRDefault="002C4042" w:rsidP="002C4042">
      <w:pPr>
        <w:jc w:val="both"/>
      </w:pPr>
      <w:r>
        <w:t>Para la zona rural, se tiene el Programa Universidad en el Campo que se desarrolla a través de una alianza público-privada con el objetivo de facilitar el acceso a programas de formación técnica y tecnológica a jóvenes de las zonas rurales del departamento, desarrollados mientras los estudiantes cursan grado 10° y 11°, sin la necesidad de salir de su entorno, pues los profesores universitarios se desplazan hacia las instituciones educativas.</w:t>
      </w:r>
    </w:p>
    <w:p w14:paraId="76F8657B" w14:textId="77777777" w:rsidR="002C4042" w:rsidRDefault="002C4042" w:rsidP="002C4042">
      <w:pPr>
        <w:jc w:val="both"/>
        <w:rPr>
          <w:b/>
          <w:bCs/>
        </w:rPr>
      </w:pPr>
    </w:p>
    <w:p w14:paraId="325A049D" w14:textId="5074E6AF" w:rsidR="002C4042" w:rsidRPr="00025724" w:rsidRDefault="002C4042" w:rsidP="00025724">
      <w:pPr>
        <w:pStyle w:val="Prrafodelista"/>
        <w:numPr>
          <w:ilvl w:val="0"/>
          <w:numId w:val="1"/>
        </w:numPr>
        <w:jc w:val="both"/>
        <w:rPr>
          <w:b/>
          <w:bCs/>
        </w:rPr>
      </w:pPr>
      <w:r w:rsidRPr="00025724">
        <w:rPr>
          <w:b/>
          <w:bCs/>
        </w:rPr>
        <w:t>Reconocimiento UNESCO de Manizales como ciudad del aprendizaje (2019):</w:t>
      </w:r>
    </w:p>
    <w:p w14:paraId="426FC849" w14:textId="77777777" w:rsidR="002C4042" w:rsidRDefault="002C4042" w:rsidP="002C4042">
      <w:pPr>
        <w:jc w:val="both"/>
      </w:pPr>
    </w:p>
    <w:p w14:paraId="55637CC6" w14:textId="77777777" w:rsidR="002C4042" w:rsidRDefault="002C4042" w:rsidP="002C4042">
      <w:pPr>
        <w:jc w:val="both"/>
      </w:pPr>
      <w:r>
        <w:t xml:space="preserve">Manizales fue reconocida como </w:t>
      </w:r>
      <w:r w:rsidRPr="00B65E45">
        <w:t>una Ciudad del aprendizaje</w:t>
      </w:r>
      <w:r>
        <w:t xml:space="preserve"> por la UNESCO, ya</w:t>
      </w:r>
      <w:r w:rsidRPr="00B65E45">
        <w:t xml:space="preserve"> que además de tener diferentes universidades con acreditación de alta calidad, tiene un Sistema Universitario (SUMA) que facilita la cooperación entre las instituciones de </w:t>
      </w:r>
      <w:r w:rsidRPr="00B65E45">
        <w:lastRenderedPageBreak/>
        <w:t>educación superior y los procesos formativos, investigativos, administrativos y de proyección que en ellas se realizan.</w:t>
      </w:r>
    </w:p>
    <w:p w14:paraId="60244E34" w14:textId="77777777" w:rsidR="00025724" w:rsidRDefault="00025724" w:rsidP="002C4042">
      <w:pPr>
        <w:jc w:val="both"/>
      </w:pPr>
    </w:p>
    <w:p w14:paraId="02C653AE" w14:textId="50184E38" w:rsidR="00025724" w:rsidRPr="00025724" w:rsidRDefault="00025724" w:rsidP="00025724">
      <w:pPr>
        <w:pStyle w:val="Prrafodelista"/>
        <w:numPr>
          <w:ilvl w:val="0"/>
          <w:numId w:val="1"/>
        </w:numPr>
        <w:jc w:val="both"/>
        <w:rPr>
          <w:rFonts w:cstheme="minorHAnsi"/>
          <w:b/>
        </w:rPr>
      </w:pPr>
      <w:r w:rsidRPr="00025724">
        <w:rPr>
          <w:rFonts w:cstheme="minorHAnsi"/>
          <w:b/>
        </w:rPr>
        <w:t xml:space="preserve">Propuesta del Presidente Gustavo Petro: </w:t>
      </w:r>
    </w:p>
    <w:p w14:paraId="0D84F52F" w14:textId="77777777" w:rsidR="00025724" w:rsidRDefault="00025724" w:rsidP="00025724">
      <w:pPr>
        <w:pStyle w:val="Prrafodelista"/>
        <w:jc w:val="both"/>
        <w:rPr>
          <w:rFonts w:cstheme="minorHAnsi"/>
          <w:b/>
        </w:rPr>
      </w:pPr>
      <w:r w:rsidRPr="00C32EFF">
        <w:rPr>
          <w:rFonts w:cstheme="minorHAnsi"/>
          <w:b/>
        </w:rPr>
        <w:t xml:space="preserve"> Manizales: Ciudad cerebro de Colombia, para una sociedad y una economía del conocimiento:</w:t>
      </w:r>
    </w:p>
    <w:p w14:paraId="40BEBDAE" w14:textId="77777777" w:rsidR="00025724" w:rsidRPr="00C32EFF" w:rsidRDefault="00025724" w:rsidP="00025724">
      <w:pPr>
        <w:pStyle w:val="Prrafodelista"/>
        <w:jc w:val="both"/>
        <w:rPr>
          <w:rFonts w:cstheme="minorHAnsi"/>
          <w:b/>
        </w:rPr>
      </w:pPr>
    </w:p>
    <w:p w14:paraId="707F9021" w14:textId="77777777" w:rsidR="00025724" w:rsidRPr="00C32EFF" w:rsidRDefault="00025724" w:rsidP="00025724">
      <w:pPr>
        <w:pStyle w:val="NormalWeb"/>
        <w:spacing w:before="0" w:beforeAutospacing="0" w:after="150" w:afterAutospacing="0"/>
        <w:jc w:val="both"/>
        <w:rPr>
          <w:rFonts w:asciiTheme="minorHAnsi" w:hAnsiTheme="minorHAnsi" w:cstheme="minorHAnsi"/>
        </w:rPr>
      </w:pPr>
      <w:r w:rsidRPr="00C32EFF">
        <w:rPr>
          <w:rFonts w:asciiTheme="minorHAnsi" w:hAnsiTheme="minorHAnsi" w:cstheme="minorHAnsi"/>
        </w:rPr>
        <w:t>El</w:t>
      </w:r>
      <w:r>
        <w:rPr>
          <w:rFonts w:asciiTheme="minorHAnsi" w:hAnsiTheme="minorHAnsi" w:cstheme="minorHAnsi"/>
        </w:rPr>
        <w:t xml:space="preserve"> pasado 3 de septie</w:t>
      </w:r>
      <w:r w:rsidRPr="007E0F14">
        <w:rPr>
          <w:rFonts w:asciiTheme="minorHAnsi" w:hAnsiTheme="minorHAnsi" w:cstheme="minorHAnsi"/>
        </w:rPr>
        <w:t>m</w:t>
      </w:r>
      <w:r>
        <w:rPr>
          <w:rFonts w:asciiTheme="minorHAnsi" w:hAnsiTheme="minorHAnsi" w:cstheme="minorHAnsi"/>
        </w:rPr>
        <w:t xml:space="preserve">bre durante la visita del señor </w:t>
      </w:r>
      <w:r w:rsidRPr="00C32EFF">
        <w:rPr>
          <w:rFonts w:asciiTheme="minorHAnsi" w:hAnsiTheme="minorHAnsi" w:cstheme="minorHAnsi"/>
        </w:rPr>
        <w:t>Presidente</w:t>
      </w:r>
      <w:r>
        <w:rPr>
          <w:rFonts w:asciiTheme="minorHAnsi" w:hAnsiTheme="minorHAnsi" w:cstheme="minorHAnsi"/>
        </w:rPr>
        <w:t xml:space="preserve"> de la Republica, Dr.</w:t>
      </w:r>
      <w:r w:rsidRPr="00C32EFF">
        <w:rPr>
          <w:rFonts w:asciiTheme="minorHAnsi" w:hAnsiTheme="minorHAnsi" w:cstheme="minorHAnsi"/>
        </w:rPr>
        <w:t xml:space="preserve"> Gustavo Petro</w:t>
      </w:r>
      <w:r>
        <w:rPr>
          <w:rFonts w:asciiTheme="minorHAnsi" w:hAnsiTheme="minorHAnsi" w:cstheme="minorHAnsi"/>
        </w:rPr>
        <w:t xml:space="preserve"> a la ciudad de </w:t>
      </w:r>
      <w:r w:rsidRPr="007E0F14">
        <w:rPr>
          <w:rFonts w:asciiTheme="minorHAnsi" w:hAnsiTheme="minorHAnsi" w:cstheme="minorHAnsi"/>
        </w:rPr>
        <w:t>M</w:t>
      </w:r>
      <w:r>
        <w:rPr>
          <w:rFonts w:asciiTheme="minorHAnsi" w:hAnsiTheme="minorHAnsi" w:cstheme="minorHAnsi"/>
        </w:rPr>
        <w:t>anizales,</w:t>
      </w:r>
      <w:r w:rsidRPr="00C32EFF">
        <w:rPr>
          <w:rFonts w:asciiTheme="minorHAnsi" w:hAnsiTheme="minorHAnsi" w:cstheme="minorHAnsi"/>
        </w:rPr>
        <w:t xml:space="preserve"> </w:t>
      </w:r>
      <w:r>
        <w:rPr>
          <w:rFonts w:asciiTheme="minorHAnsi" w:hAnsiTheme="minorHAnsi" w:cstheme="minorHAnsi"/>
        </w:rPr>
        <w:t>se planteó por parte de él, la posibilidad de que la capital Caldense fuera, según sus palabras:</w:t>
      </w:r>
      <w:r w:rsidRPr="00C32EFF">
        <w:rPr>
          <w:rFonts w:asciiTheme="minorHAnsi" w:hAnsiTheme="minorHAnsi" w:cstheme="minorHAnsi"/>
        </w:rPr>
        <w:t xml:space="preserve"> </w:t>
      </w:r>
      <w:r>
        <w:rPr>
          <w:rFonts w:asciiTheme="minorHAnsi" w:hAnsiTheme="minorHAnsi" w:cstheme="minorHAnsi"/>
        </w:rPr>
        <w:t xml:space="preserve">“el </w:t>
      </w:r>
      <w:r w:rsidRPr="00C32EFF">
        <w:rPr>
          <w:rFonts w:asciiTheme="minorHAnsi" w:hAnsiTheme="minorHAnsi" w:cstheme="minorHAnsi"/>
        </w:rPr>
        <w:t>cerebro</w:t>
      </w:r>
      <w:r>
        <w:rPr>
          <w:rFonts w:asciiTheme="minorHAnsi" w:hAnsiTheme="minorHAnsi" w:cstheme="minorHAnsi"/>
        </w:rPr>
        <w:t>”</w:t>
      </w:r>
      <w:r w:rsidRPr="00C32EFF">
        <w:rPr>
          <w:rFonts w:asciiTheme="minorHAnsi" w:hAnsiTheme="minorHAnsi" w:cstheme="minorHAnsi"/>
        </w:rPr>
        <w:t xml:space="preserve"> de Colombia</w:t>
      </w:r>
      <w:r>
        <w:rPr>
          <w:rFonts w:asciiTheme="minorHAnsi" w:hAnsiTheme="minorHAnsi" w:cstheme="minorHAnsi"/>
        </w:rPr>
        <w:t xml:space="preserve">; para que de esta </w:t>
      </w:r>
      <w:r w:rsidRPr="007E0F14">
        <w:rPr>
          <w:rFonts w:asciiTheme="minorHAnsi" w:hAnsiTheme="minorHAnsi" w:cstheme="minorHAnsi"/>
        </w:rPr>
        <w:t>m</w:t>
      </w:r>
      <w:r>
        <w:rPr>
          <w:rFonts w:asciiTheme="minorHAnsi" w:hAnsiTheme="minorHAnsi" w:cstheme="minorHAnsi"/>
        </w:rPr>
        <w:t>anera la</w:t>
      </w:r>
      <w:r w:rsidRPr="00C32EFF">
        <w:rPr>
          <w:rFonts w:asciiTheme="minorHAnsi" w:hAnsiTheme="minorHAnsi" w:cstheme="minorHAnsi"/>
        </w:rPr>
        <w:t xml:space="preserve"> ciudad</w:t>
      </w:r>
      <w:r>
        <w:rPr>
          <w:rFonts w:asciiTheme="minorHAnsi" w:hAnsiTheme="minorHAnsi" w:cstheme="minorHAnsi"/>
        </w:rPr>
        <w:t xml:space="preserve"> girara en torno a una construcción de política pública educativa con los </w:t>
      </w:r>
      <w:r w:rsidRPr="007E0F14">
        <w:rPr>
          <w:rFonts w:asciiTheme="minorHAnsi" w:hAnsiTheme="minorHAnsi" w:cstheme="minorHAnsi"/>
        </w:rPr>
        <w:t>m</w:t>
      </w:r>
      <w:r>
        <w:rPr>
          <w:rFonts w:asciiTheme="minorHAnsi" w:hAnsiTheme="minorHAnsi" w:cstheme="minorHAnsi"/>
        </w:rPr>
        <w:t>ás altos estándares, enfocada al fortaleci</w:t>
      </w:r>
      <w:r w:rsidRPr="007E0F14">
        <w:rPr>
          <w:rFonts w:asciiTheme="minorHAnsi" w:hAnsiTheme="minorHAnsi" w:cstheme="minorHAnsi"/>
        </w:rPr>
        <w:t>m</w:t>
      </w:r>
      <w:r>
        <w:rPr>
          <w:rFonts w:asciiTheme="minorHAnsi" w:hAnsiTheme="minorHAnsi" w:cstheme="minorHAnsi"/>
        </w:rPr>
        <w:t xml:space="preserve">iento de las ciencias del </w:t>
      </w:r>
      <w:r w:rsidRPr="00C32EFF">
        <w:rPr>
          <w:rFonts w:asciiTheme="minorHAnsi" w:hAnsiTheme="minorHAnsi" w:cstheme="minorHAnsi"/>
        </w:rPr>
        <w:t xml:space="preserve">conocimiento </w:t>
      </w:r>
      <w:r>
        <w:rPr>
          <w:rFonts w:asciiTheme="minorHAnsi" w:hAnsiTheme="minorHAnsi" w:cstheme="minorHAnsi"/>
        </w:rPr>
        <w:t>y la c</w:t>
      </w:r>
      <w:r w:rsidRPr="00C32EFF">
        <w:rPr>
          <w:rFonts w:asciiTheme="minorHAnsi" w:hAnsiTheme="minorHAnsi" w:cstheme="minorHAnsi"/>
        </w:rPr>
        <w:t>onstruc</w:t>
      </w:r>
      <w:r>
        <w:rPr>
          <w:rFonts w:asciiTheme="minorHAnsi" w:hAnsiTheme="minorHAnsi" w:cstheme="minorHAnsi"/>
        </w:rPr>
        <w:t>ción de</w:t>
      </w:r>
      <w:r w:rsidRPr="00C32EFF">
        <w:rPr>
          <w:rFonts w:asciiTheme="minorHAnsi" w:hAnsiTheme="minorHAnsi" w:cstheme="minorHAnsi"/>
        </w:rPr>
        <w:t xml:space="preserve"> una economía </w:t>
      </w:r>
      <w:r>
        <w:rPr>
          <w:rFonts w:asciiTheme="minorHAnsi" w:hAnsiTheme="minorHAnsi" w:cstheme="minorHAnsi"/>
        </w:rPr>
        <w:t>de innovación, e</w:t>
      </w:r>
      <w:r w:rsidRPr="007E0F14">
        <w:rPr>
          <w:rFonts w:asciiTheme="minorHAnsi" w:hAnsiTheme="minorHAnsi" w:cstheme="minorHAnsi"/>
        </w:rPr>
        <w:t>m</w:t>
      </w:r>
      <w:r>
        <w:rPr>
          <w:rFonts w:asciiTheme="minorHAnsi" w:hAnsiTheme="minorHAnsi" w:cstheme="minorHAnsi"/>
        </w:rPr>
        <w:t>prendi</w:t>
      </w:r>
      <w:r w:rsidRPr="007E0F14">
        <w:rPr>
          <w:rFonts w:asciiTheme="minorHAnsi" w:hAnsiTheme="minorHAnsi" w:cstheme="minorHAnsi"/>
        </w:rPr>
        <w:t>m</w:t>
      </w:r>
      <w:r>
        <w:rPr>
          <w:rFonts w:asciiTheme="minorHAnsi" w:hAnsiTheme="minorHAnsi" w:cstheme="minorHAnsi"/>
        </w:rPr>
        <w:t>iento y ciencia, que sirviera de eje</w:t>
      </w:r>
      <w:r w:rsidRPr="00DA423E">
        <w:rPr>
          <w:rFonts w:asciiTheme="minorHAnsi" w:hAnsiTheme="minorHAnsi" w:cstheme="minorHAnsi"/>
        </w:rPr>
        <w:t>m</w:t>
      </w:r>
      <w:r>
        <w:rPr>
          <w:rFonts w:asciiTheme="minorHAnsi" w:hAnsiTheme="minorHAnsi" w:cstheme="minorHAnsi"/>
        </w:rPr>
        <w:t>plo al país.</w:t>
      </w:r>
    </w:p>
    <w:p w14:paraId="68C92C9C" w14:textId="77777777" w:rsidR="00025724" w:rsidRDefault="00025724" w:rsidP="00025724">
      <w:pPr>
        <w:pStyle w:val="NormalWeb"/>
        <w:spacing w:before="0" w:beforeAutospacing="0" w:after="150" w:afterAutospacing="0"/>
        <w:jc w:val="both"/>
        <w:rPr>
          <w:rFonts w:asciiTheme="minorHAnsi" w:hAnsiTheme="minorHAnsi" w:cstheme="minorHAnsi"/>
        </w:rPr>
      </w:pPr>
      <w:r w:rsidRPr="00C32EFF">
        <w:rPr>
          <w:rFonts w:asciiTheme="minorHAnsi" w:hAnsiTheme="minorHAnsi" w:cstheme="minorHAnsi"/>
        </w:rPr>
        <w:t>E</w:t>
      </w:r>
      <w:r>
        <w:rPr>
          <w:rFonts w:asciiTheme="minorHAnsi" w:hAnsiTheme="minorHAnsi" w:cstheme="minorHAnsi"/>
        </w:rPr>
        <w:t>n Palabras del Señor Presidente se refiero así a esta idea</w:t>
      </w:r>
      <w:r w:rsidRPr="00C32EFF">
        <w:rPr>
          <w:rFonts w:asciiTheme="minorHAnsi" w:hAnsiTheme="minorHAnsi" w:cstheme="minorHAnsi"/>
        </w:rPr>
        <w:t xml:space="preserve">: </w:t>
      </w:r>
      <w:r w:rsidRPr="00C32EFF">
        <w:rPr>
          <w:rFonts w:asciiTheme="minorHAnsi" w:hAnsiTheme="minorHAnsi" w:cstheme="minorHAnsi"/>
          <w:i/>
        </w:rPr>
        <w:t xml:space="preserve">“Yo les propongo —lo discutirán ustedes en el proceso de diálogo regional— que esto sea como una misión (…) que conjugue el Estado, los sectores privados, el pueblo mismo, en un objetivo común, que es: Manizales cerebro de Colombia”.  </w:t>
      </w:r>
      <w:r w:rsidRPr="00C32EFF">
        <w:rPr>
          <w:rFonts w:asciiTheme="minorHAnsi" w:hAnsiTheme="minorHAnsi" w:cstheme="minorHAnsi"/>
        </w:rPr>
        <w:t xml:space="preserve">Dijo el Mandatario en el marco del Diálogo Regional efectuado en la capital del departamento de Caldas. </w:t>
      </w:r>
    </w:p>
    <w:p w14:paraId="08C148CC" w14:textId="77777777" w:rsidR="00025724" w:rsidRPr="00C32EFF" w:rsidRDefault="00025724" w:rsidP="00025724">
      <w:pPr>
        <w:pStyle w:val="NormalWeb"/>
        <w:spacing w:before="0" w:beforeAutospacing="0" w:after="150" w:afterAutospacing="0"/>
        <w:jc w:val="both"/>
        <w:rPr>
          <w:rFonts w:asciiTheme="minorHAnsi" w:hAnsiTheme="minorHAnsi" w:cstheme="minorHAnsi"/>
          <w:b/>
        </w:rPr>
      </w:pPr>
      <w:r>
        <w:rPr>
          <w:rFonts w:asciiTheme="minorHAnsi" w:hAnsiTheme="minorHAnsi" w:cstheme="minorHAnsi"/>
        </w:rPr>
        <w:t xml:space="preserve">De esta </w:t>
      </w:r>
      <w:r w:rsidRPr="00DA423E">
        <w:rPr>
          <w:rFonts w:asciiTheme="minorHAnsi" w:hAnsiTheme="minorHAnsi" w:cstheme="minorHAnsi"/>
        </w:rPr>
        <w:t>m</w:t>
      </w:r>
      <w:r>
        <w:rPr>
          <w:rFonts w:asciiTheme="minorHAnsi" w:hAnsiTheme="minorHAnsi" w:cstheme="minorHAnsi"/>
        </w:rPr>
        <w:t>anera, y con base en la propuesta del Presidente, y en lo que seguro, girara las conversaciones de cara a la construcción del Plan Nacional de Desarrollo y su capítulo para Caldas y el eje cafetero, esta iniciativa es ar</w:t>
      </w:r>
      <w:r w:rsidRPr="00DA423E">
        <w:rPr>
          <w:rFonts w:asciiTheme="minorHAnsi" w:hAnsiTheme="minorHAnsi" w:cstheme="minorHAnsi"/>
        </w:rPr>
        <w:t>m</w:t>
      </w:r>
      <w:r>
        <w:rPr>
          <w:rFonts w:asciiTheme="minorHAnsi" w:hAnsiTheme="minorHAnsi" w:cstheme="minorHAnsi"/>
        </w:rPr>
        <w:t>ónica y coherente con la planificación territorial que pretende aprovechar el potencial hu</w:t>
      </w:r>
      <w:r w:rsidRPr="00DA423E">
        <w:rPr>
          <w:rFonts w:asciiTheme="minorHAnsi" w:hAnsiTheme="minorHAnsi" w:cstheme="minorHAnsi"/>
        </w:rPr>
        <w:t>m</w:t>
      </w:r>
      <w:r>
        <w:rPr>
          <w:rFonts w:asciiTheme="minorHAnsi" w:hAnsiTheme="minorHAnsi" w:cstheme="minorHAnsi"/>
        </w:rPr>
        <w:t>ano y las ventajas co</w:t>
      </w:r>
      <w:r w:rsidRPr="00DA423E">
        <w:rPr>
          <w:rFonts w:asciiTheme="minorHAnsi" w:hAnsiTheme="minorHAnsi" w:cstheme="minorHAnsi"/>
        </w:rPr>
        <w:t>m</w:t>
      </w:r>
      <w:r>
        <w:rPr>
          <w:rFonts w:asciiTheme="minorHAnsi" w:hAnsiTheme="minorHAnsi" w:cstheme="minorHAnsi"/>
        </w:rPr>
        <w:t>parativas y co</w:t>
      </w:r>
      <w:r w:rsidRPr="00DA423E">
        <w:rPr>
          <w:rFonts w:asciiTheme="minorHAnsi" w:hAnsiTheme="minorHAnsi" w:cstheme="minorHAnsi"/>
        </w:rPr>
        <w:t>m</w:t>
      </w:r>
      <w:r>
        <w:rPr>
          <w:rFonts w:asciiTheme="minorHAnsi" w:hAnsiTheme="minorHAnsi" w:cstheme="minorHAnsi"/>
        </w:rPr>
        <w:t xml:space="preserve">petitivas que hacen de </w:t>
      </w:r>
      <w:r w:rsidRPr="00DA423E">
        <w:rPr>
          <w:rFonts w:asciiTheme="minorHAnsi" w:hAnsiTheme="minorHAnsi" w:cstheme="minorHAnsi"/>
        </w:rPr>
        <w:t>M</w:t>
      </w:r>
      <w:r>
        <w:rPr>
          <w:rFonts w:asciiTheme="minorHAnsi" w:hAnsiTheme="minorHAnsi" w:cstheme="minorHAnsi"/>
        </w:rPr>
        <w:t>anizales una ciudad universitaria con altas capacidades académicas y técnicas.</w:t>
      </w:r>
    </w:p>
    <w:p w14:paraId="6BD919F9" w14:textId="77777777" w:rsidR="00025724" w:rsidRDefault="00025724" w:rsidP="002C4042">
      <w:pPr>
        <w:jc w:val="both"/>
      </w:pPr>
    </w:p>
    <w:p w14:paraId="64B6931E" w14:textId="77777777" w:rsidR="002C4042" w:rsidRDefault="002C4042" w:rsidP="002C4042">
      <w:pPr>
        <w:jc w:val="both"/>
      </w:pPr>
    </w:p>
    <w:p w14:paraId="00AC4E5C" w14:textId="77777777" w:rsidR="002B32B3" w:rsidRPr="00893C2B" w:rsidRDefault="002B32B3" w:rsidP="00893C2B">
      <w:pPr>
        <w:pStyle w:val="Prrafodelista"/>
        <w:numPr>
          <w:ilvl w:val="0"/>
          <w:numId w:val="3"/>
        </w:numPr>
        <w:jc w:val="both"/>
        <w:rPr>
          <w:b/>
          <w:bCs/>
        </w:rPr>
      </w:pPr>
      <w:r w:rsidRPr="00893C2B">
        <w:rPr>
          <w:b/>
          <w:bCs/>
        </w:rPr>
        <w:t>Circunstancias o eventos que podrían generar un conflicto de interés – artículo 291 de la Ley 5 de 1992</w:t>
      </w:r>
    </w:p>
    <w:p w14:paraId="6D46D07F" w14:textId="77777777" w:rsidR="002B32B3" w:rsidRDefault="002B32B3" w:rsidP="002B32B3">
      <w:pPr>
        <w:pBdr>
          <w:top w:val="nil"/>
          <w:left w:val="nil"/>
          <w:bottom w:val="nil"/>
          <w:right w:val="nil"/>
          <w:between w:val="nil"/>
        </w:pBdr>
        <w:spacing w:after="160" w:line="276" w:lineRule="auto"/>
        <w:rPr>
          <w:color w:val="000000" w:themeColor="text1"/>
          <w:highlight w:val="white"/>
        </w:rPr>
      </w:pPr>
    </w:p>
    <w:p w14:paraId="50B9975E" w14:textId="77777777" w:rsidR="002B32B3" w:rsidRPr="00893C2B" w:rsidRDefault="002B32B3" w:rsidP="00893C2B">
      <w:pPr>
        <w:jc w:val="both"/>
      </w:pPr>
      <w:r w:rsidRPr="00893C2B">
        <w:t>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al artículo 286 ley 5 de 1992. Estos serán criterios guías para que los otros congresistas tomen una decisión en torno a si se encuentran en una causal de impedimento, no obstante, otras causales que el Congresista pueda encontrar”.</w:t>
      </w:r>
    </w:p>
    <w:p w14:paraId="11F9B50E" w14:textId="77777777" w:rsidR="00893C2B" w:rsidRDefault="00893C2B" w:rsidP="00893C2B">
      <w:pPr>
        <w:jc w:val="both"/>
      </w:pPr>
    </w:p>
    <w:p w14:paraId="7AF0C07F" w14:textId="09A1745C" w:rsidR="002B32B3" w:rsidRPr="00893C2B" w:rsidRDefault="002B32B3" w:rsidP="00893C2B">
      <w:pPr>
        <w:jc w:val="both"/>
      </w:pPr>
      <w:r w:rsidRPr="00893C2B">
        <w:t xml:space="preserve">A continuación, se pondrán de presente los criterios que la Ley 2003 de 2019 contempla para hacer el análisis frente a los posibles impedimentos que se puedan presentar en razón a un conflicto de interés en el ejercicio de la función congresional, entre ellas la legislativa. </w:t>
      </w:r>
    </w:p>
    <w:p w14:paraId="0115AFB1" w14:textId="77777777" w:rsidR="002B32B3" w:rsidRPr="00893C2B" w:rsidRDefault="002B32B3" w:rsidP="00893C2B">
      <w:pPr>
        <w:spacing w:before="280" w:after="280" w:line="276" w:lineRule="auto"/>
        <w:ind w:firstLine="720"/>
        <w:jc w:val="both"/>
        <w:rPr>
          <w:rFonts w:ascii="Calibri" w:hAnsi="Calibri" w:cs="Calibri"/>
          <w:b/>
          <w:i/>
          <w:color w:val="000000" w:themeColor="text1"/>
        </w:rPr>
      </w:pPr>
      <w:r w:rsidRPr="00893C2B">
        <w:rPr>
          <w:rFonts w:ascii="Calibri" w:hAnsi="Calibri" w:cs="Calibri"/>
          <w:b/>
          <w:color w:val="000000" w:themeColor="text1"/>
        </w:rPr>
        <w:t>“</w:t>
      </w:r>
      <w:r w:rsidRPr="00893C2B">
        <w:rPr>
          <w:rFonts w:ascii="Calibri" w:hAnsi="Calibri" w:cs="Calibri"/>
          <w:b/>
          <w:i/>
          <w:color w:val="000000" w:themeColor="text1"/>
        </w:rPr>
        <w:t xml:space="preserve">Artículo 1º. El artículo </w:t>
      </w:r>
      <w:hyperlink r:id="rId8" w:anchor="286">
        <w:r w:rsidRPr="00893C2B">
          <w:rPr>
            <w:rFonts w:ascii="Calibri" w:hAnsi="Calibri" w:cs="Calibri"/>
            <w:b/>
            <w:i/>
            <w:color w:val="000000" w:themeColor="text1"/>
            <w:u w:val="single"/>
          </w:rPr>
          <w:t>286</w:t>
        </w:r>
      </w:hyperlink>
      <w:r w:rsidRPr="00893C2B">
        <w:rPr>
          <w:rFonts w:ascii="Calibri" w:hAnsi="Calibri" w:cs="Calibri"/>
          <w:b/>
          <w:i/>
          <w:color w:val="000000" w:themeColor="text1"/>
        </w:rPr>
        <w:t xml:space="preserve"> de la Ley 5 de 1992 quedará así:</w:t>
      </w:r>
    </w:p>
    <w:p w14:paraId="3801CDFA" w14:textId="77777777" w:rsidR="002B32B3" w:rsidRPr="00893C2B" w:rsidRDefault="002B32B3" w:rsidP="00893C2B">
      <w:pPr>
        <w:spacing w:before="280" w:after="280" w:line="276" w:lineRule="auto"/>
        <w:jc w:val="both"/>
        <w:rPr>
          <w:rFonts w:ascii="Calibri" w:hAnsi="Calibri" w:cs="Calibri"/>
          <w:i/>
          <w:color w:val="000000" w:themeColor="text1"/>
        </w:rPr>
      </w:pPr>
      <w:r w:rsidRPr="00893C2B">
        <w:rPr>
          <w:rFonts w:ascii="Calibri" w:hAnsi="Calibri" w:cs="Calibri"/>
          <w:i/>
          <w:color w:val="000000" w:themeColor="text1"/>
        </w:rPr>
        <w:lastRenderedPageBreak/>
        <w:t>ARTÍCULO 286. Régimen de conflicto de interés de los congresistas. Todos los congresistas deberán declarar los conflictos De intereses que pudieran surgir en ejercicio de sus funciones.</w:t>
      </w:r>
    </w:p>
    <w:p w14:paraId="3847BDE6" w14:textId="77777777" w:rsidR="002B32B3" w:rsidRPr="00893C2B" w:rsidRDefault="002B32B3" w:rsidP="00893C2B">
      <w:pPr>
        <w:spacing w:before="280" w:after="280" w:line="276" w:lineRule="auto"/>
        <w:jc w:val="both"/>
        <w:rPr>
          <w:rFonts w:ascii="Calibri" w:hAnsi="Calibri" w:cs="Calibri"/>
          <w:i/>
          <w:color w:val="000000" w:themeColor="text1"/>
        </w:rPr>
      </w:pPr>
      <w:r w:rsidRPr="00893C2B">
        <w:rPr>
          <w:rFonts w:ascii="Calibri" w:hAnsi="Calibri" w:cs="Calibri"/>
          <w:i/>
          <w:color w:val="000000" w:themeColor="text1"/>
        </w:rPr>
        <w:t>Se entiende como conflicto de interés una situación donde la discusión o votación de un proyecto de ley o acto legislativo o artículo, pueda resultar en un beneficio particular, actual y directo a favor del congresista.</w:t>
      </w:r>
    </w:p>
    <w:p w14:paraId="334CE9D6" w14:textId="77777777" w:rsidR="002B32B3" w:rsidRPr="00893C2B" w:rsidRDefault="002B32B3" w:rsidP="00893C2B">
      <w:pPr>
        <w:spacing w:before="280" w:after="280" w:line="276" w:lineRule="auto"/>
        <w:ind w:left="720"/>
        <w:jc w:val="both"/>
        <w:rPr>
          <w:rFonts w:ascii="Calibri" w:hAnsi="Calibri" w:cs="Calibri"/>
          <w:i/>
          <w:color w:val="000000" w:themeColor="text1"/>
        </w:rPr>
      </w:pPr>
      <w:r w:rsidRPr="00893C2B">
        <w:rPr>
          <w:rFonts w:ascii="Calibri" w:hAnsi="Calibri" w:cs="Calibri"/>
          <w:i/>
          <w:color w:val="000000" w:themeColor="text1"/>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28B382F2" w14:textId="77777777" w:rsidR="002B32B3" w:rsidRPr="00893C2B" w:rsidRDefault="002B32B3" w:rsidP="00893C2B">
      <w:pPr>
        <w:spacing w:before="280" w:after="280" w:line="276" w:lineRule="auto"/>
        <w:ind w:left="720"/>
        <w:jc w:val="both"/>
        <w:rPr>
          <w:rFonts w:ascii="Calibri" w:hAnsi="Calibri" w:cs="Calibri"/>
          <w:i/>
          <w:color w:val="000000" w:themeColor="text1"/>
        </w:rPr>
      </w:pPr>
      <w:r w:rsidRPr="00893C2B">
        <w:rPr>
          <w:rFonts w:ascii="Calibri" w:hAnsi="Calibri" w:cs="Calibri"/>
          <w:i/>
          <w:color w:val="000000" w:themeColor="text1"/>
        </w:rPr>
        <w:t>b) Beneficio actual: aquel que efectivamente se configura en las circunstancias presentes y existentes al momento en el que el congresista participa de la decisión.</w:t>
      </w:r>
    </w:p>
    <w:p w14:paraId="09B34D57" w14:textId="77777777" w:rsidR="002B32B3" w:rsidRPr="00893C2B" w:rsidRDefault="002B32B3" w:rsidP="00893C2B">
      <w:pPr>
        <w:spacing w:before="280" w:after="280" w:line="276" w:lineRule="auto"/>
        <w:ind w:left="720"/>
        <w:jc w:val="both"/>
        <w:rPr>
          <w:rFonts w:ascii="Calibri" w:hAnsi="Calibri" w:cs="Calibri"/>
          <w:i/>
          <w:color w:val="000000" w:themeColor="text1"/>
        </w:rPr>
      </w:pPr>
      <w:r w:rsidRPr="00893C2B">
        <w:rPr>
          <w:rFonts w:ascii="Calibri" w:hAnsi="Calibri" w:cs="Calibri"/>
          <w:i/>
          <w:color w:val="000000" w:themeColor="text1"/>
        </w:rPr>
        <w:t>c) Beneficio directo: aquel que se produzca de forma específica respecto del congresista, de su cónyuge, compañero o compañera permanente, o parientes dentro del segundo grado de consanguinidad, segundo de afinidad o primero civil.</w:t>
      </w:r>
    </w:p>
    <w:p w14:paraId="3EAACAC3" w14:textId="77777777" w:rsidR="002B32B3" w:rsidRPr="00893C2B" w:rsidRDefault="002B32B3" w:rsidP="00893C2B">
      <w:pPr>
        <w:spacing w:before="280" w:after="280" w:line="276" w:lineRule="auto"/>
        <w:ind w:left="720"/>
        <w:jc w:val="both"/>
        <w:rPr>
          <w:rFonts w:ascii="Calibri" w:hAnsi="Calibri" w:cs="Calibri"/>
          <w:i/>
          <w:color w:val="000000" w:themeColor="text1"/>
        </w:rPr>
      </w:pPr>
      <w:r w:rsidRPr="00893C2B">
        <w:rPr>
          <w:rFonts w:ascii="Calibri" w:hAnsi="Calibri" w:cs="Calibri"/>
          <w:i/>
          <w:color w:val="000000" w:themeColor="text1"/>
        </w:rPr>
        <w:t>Para todos los efectos se entiende que no hay conflicto de interés en las siguientes circunstancias:</w:t>
      </w:r>
    </w:p>
    <w:p w14:paraId="3931719C" w14:textId="77777777" w:rsidR="002B32B3" w:rsidRPr="00893C2B" w:rsidRDefault="002B32B3" w:rsidP="00893C2B">
      <w:pPr>
        <w:spacing w:before="280" w:after="280" w:line="276" w:lineRule="auto"/>
        <w:ind w:left="720"/>
        <w:jc w:val="both"/>
        <w:rPr>
          <w:rFonts w:ascii="Calibri" w:hAnsi="Calibri" w:cs="Calibri"/>
          <w:b/>
          <w:i/>
          <w:color w:val="000000" w:themeColor="text1"/>
          <w:u w:val="single"/>
        </w:rPr>
      </w:pPr>
      <w:r w:rsidRPr="00893C2B">
        <w:rPr>
          <w:rFonts w:ascii="Calibri" w:hAnsi="Calibri" w:cs="Calibri"/>
          <w:b/>
          <w:i/>
          <w:color w:val="000000" w:themeColor="text1"/>
          <w:u w:val="single"/>
        </w:rPr>
        <w:t xml:space="preserve">a) Cuando el congresista participe, discuta, vote un proyecto de ley o de acto legislativo que otorgue beneficios o cargos de carácter general, es decir cuando el interés del congresista coincide o se fusione con los intereses de los electores. </w:t>
      </w:r>
      <w:r w:rsidRPr="00893C2B">
        <w:rPr>
          <w:rFonts w:ascii="Calibri" w:hAnsi="Calibri" w:cs="Calibri"/>
          <w:b/>
          <w:i/>
          <w:color w:val="000000" w:themeColor="text1"/>
        </w:rPr>
        <w:t xml:space="preserve"> (Negrilla propia)</w:t>
      </w:r>
    </w:p>
    <w:p w14:paraId="38E02E30" w14:textId="77777777" w:rsidR="002B32B3" w:rsidRPr="00893C2B" w:rsidRDefault="002B32B3" w:rsidP="00893C2B">
      <w:pPr>
        <w:spacing w:before="280" w:after="280" w:line="276" w:lineRule="auto"/>
        <w:ind w:left="700" w:firstLine="20"/>
        <w:jc w:val="both"/>
        <w:rPr>
          <w:rFonts w:ascii="Calibri" w:hAnsi="Calibri" w:cs="Calibri"/>
          <w:i/>
          <w:color w:val="000000" w:themeColor="text1"/>
        </w:rPr>
      </w:pPr>
      <w:r w:rsidRPr="00893C2B">
        <w:rPr>
          <w:rFonts w:ascii="Calibri" w:hAnsi="Calibri" w:cs="Calibri"/>
          <w:i/>
          <w:color w:val="000000" w:themeColor="text1"/>
        </w:rPr>
        <w:t>b) Cuando el beneficio podría o no configurarse para el congresista en el futuro.</w:t>
      </w:r>
    </w:p>
    <w:p w14:paraId="0B58A9FA" w14:textId="77777777" w:rsidR="002B32B3" w:rsidRPr="00893C2B" w:rsidRDefault="002B32B3" w:rsidP="00893C2B">
      <w:pPr>
        <w:spacing w:before="280" w:after="280" w:line="276" w:lineRule="auto"/>
        <w:ind w:left="720"/>
        <w:jc w:val="both"/>
        <w:rPr>
          <w:rFonts w:ascii="Calibri" w:hAnsi="Calibri" w:cs="Calibri"/>
          <w:i/>
          <w:color w:val="000000" w:themeColor="text1"/>
        </w:rPr>
      </w:pPr>
      <w:r w:rsidRPr="00893C2B">
        <w:rPr>
          <w:rFonts w:ascii="Calibri" w:hAnsi="Calibri" w:cs="Calibri"/>
          <w:i/>
          <w:color w:val="000000" w:themeColor="text1"/>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637D9AAF" w14:textId="77777777" w:rsidR="002B32B3" w:rsidRPr="00893C2B" w:rsidRDefault="002B32B3" w:rsidP="00893C2B">
      <w:pPr>
        <w:spacing w:before="280" w:after="280" w:line="276" w:lineRule="auto"/>
        <w:ind w:left="720"/>
        <w:jc w:val="both"/>
        <w:rPr>
          <w:rFonts w:ascii="Calibri" w:hAnsi="Calibri" w:cs="Calibri"/>
          <w:i/>
          <w:color w:val="000000" w:themeColor="text1"/>
        </w:rPr>
      </w:pPr>
      <w:r w:rsidRPr="00893C2B">
        <w:rPr>
          <w:rFonts w:ascii="Calibri" w:hAnsi="Calibri" w:cs="Calibri"/>
          <w:i/>
          <w:color w:val="000000" w:themeColor="text1"/>
        </w:rPr>
        <w:t xml:space="preserve">d) Cuando el congresista participe, discuta o vote artículos de proyectos de ley o acto legislativo de carácter particular, que regula un sector económico en el </w:t>
      </w:r>
      <w:r w:rsidRPr="00893C2B">
        <w:rPr>
          <w:rFonts w:ascii="Calibri" w:hAnsi="Calibri" w:cs="Calibri"/>
          <w:i/>
          <w:color w:val="000000" w:themeColor="text1"/>
        </w:rPr>
        <w:lastRenderedPageBreak/>
        <w:t>cual el congresista tiene un interés particular, actual y directo, siempre y cuando no genere beneficio particular, directo y actual.</w:t>
      </w:r>
    </w:p>
    <w:p w14:paraId="64A4149F" w14:textId="77777777" w:rsidR="002B32B3" w:rsidRPr="00893C2B" w:rsidRDefault="002B32B3" w:rsidP="00893C2B">
      <w:pPr>
        <w:spacing w:before="280" w:after="280" w:line="276" w:lineRule="auto"/>
        <w:ind w:left="720"/>
        <w:jc w:val="both"/>
        <w:rPr>
          <w:rFonts w:ascii="Calibri" w:hAnsi="Calibri" w:cs="Calibri"/>
          <w:i/>
          <w:color w:val="000000" w:themeColor="text1"/>
        </w:rPr>
      </w:pPr>
      <w:r w:rsidRPr="00893C2B">
        <w:rPr>
          <w:rFonts w:ascii="Calibri" w:hAnsi="Calibri" w:cs="Calibri"/>
          <w:i/>
          <w:color w:val="000000" w:themeColor="text1"/>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05B80AEE" w14:textId="77777777" w:rsidR="002B32B3" w:rsidRPr="00893C2B" w:rsidRDefault="002B32B3" w:rsidP="00893C2B">
      <w:pPr>
        <w:spacing w:before="280" w:after="280" w:line="276" w:lineRule="auto"/>
        <w:ind w:left="720"/>
        <w:jc w:val="both"/>
        <w:rPr>
          <w:rFonts w:ascii="Calibri" w:hAnsi="Calibri" w:cs="Calibri"/>
          <w:color w:val="000000" w:themeColor="text1"/>
        </w:rPr>
      </w:pPr>
      <w:r w:rsidRPr="00893C2B">
        <w:rPr>
          <w:rFonts w:ascii="Calibri" w:hAnsi="Calibri" w:cs="Calibri"/>
          <w:i/>
          <w:color w:val="000000" w:themeColor="text1"/>
        </w:rPr>
        <w:t xml:space="preserve">f) Cuando el congresista participa en la elección de otros servidores públicos mediante el voto secreto. Se exceptúan los casos en que se presenten inhabilidades referidas al parentesco con los candidatos (...)”. </w:t>
      </w:r>
      <w:r w:rsidRPr="00893C2B">
        <w:rPr>
          <w:rFonts w:ascii="Calibri" w:hAnsi="Calibri" w:cs="Calibri"/>
          <w:color w:val="000000" w:themeColor="text1"/>
        </w:rPr>
        <w:t>(Subrayado y negrilla fuera de texto).</w:t>
      </w:r>
      <w:bookmarkStart w:id="0" w:name="_kt0h2lohccae" w:colFirst="0" w:colLast="0"/>
      <w:bookmarkEnd w:id="0"/>
    </w:p>
    <w:p w14:paraId="008806E9" w14:textId="77777777" w:rsidR="002B32B3" w:rsidRPr="00893C2B" w:rsidRDefault="002B32B3" w:rsidP="00893C2B">
      <w:pPr>
        <w:spacing w:line="276" w:lineRule="auto"/>
        <w:jc w:val="both"/>
        <w:rPr>
          <w:rFonts w:ascii="Calibri" w:hAnsi="Calibri" w:cs="Calibri"/>
        </w:rPr>
      </w:pPr>
      <w:r w:rsidRPr="00893C2B">
        <w:rPr>
          <w:rFonts w:ascii="Calibri" w:hAnsi="Calibri" w:cs="Calibri"/>
        </w:rPr>
        <w:t>En el mismo sentido, ha manifestado ya la Honorable Corte Constitucional, que el inevitable interés político que subyace a una reforma constitucional, al concurrir con los intereses generales, no configura un conflicto de interés:</w:t>
      </w:r>
    </w:p>
    <w:p w14:paraId="056EF7C9" w14:textId="77777777" w:rsidR="006F4FBE" w:rsidRDefault="006F4FBE" w:rsidP="00893C2B">
      <w:pPr>
        <w:jc w:val="both"/>
        <w:rPr>
          <w:rFonts w:ascii="Calibri" w:hAnsi="Calibri" w:cs="Calibri"/>
        </w:rPr>
      </w:pPr>
    </w:p>
    <w:p w14:paraId="7D7DBFD4" w14:textId="198F6081" w:rsidR="002B32B3" w:rsidRPr="00893C2B" w:rsidRDefault="006F4FBE" w:rsidP="00893C2B">
      <w:pPr>
        <w:jc w:val="both"/>
        <w:rPr>
          <w:rFonts w:ascii="Calibri" w:hAnsi="Calibri" w:cs="Calibri"/>
        </w:rPr>
      </w:pPr>
      <w:r>
        <w:rPr>
          <w:rFonts w:ascii="Calibri" w:hAnsi="Calibri" w:cs="Calibri"/>
        </w:rPr>
        <w:t>E</w:t>
      </w:r>
      <w:r w:rsidR="002B32B3" w:rsidRPr="00893C2B">
        <w:rPr>
          <w:rFonts w:ascii="Calibri" w:hAnsi="Calibri" w:cs="Calibri"/>
        </w:rPr>
        <w:t xml:space="preserve">n sentencia </w:t>
      </w:r>
      <w:r w:rsidR="002B32B3" w:rsidRPr="006F4FBE">
        <w:rPr>
          <w:rFonts w:ascii="Calibri" w:hAnsi="Calibri" w:cs="Calibri"/>
        </w:rPr>
        <w:t>C 294 de 2021</w:t>
      </w:r>
      <w:r w:rsidRPr="006F4FBE">
        <w:rPr>
          <w:rFonts w:ascii="Calibri" w:hAnsi="Calibri" w:cs="Calibri"/>
        </w:rPr>
        <w:t>,</w:t>
      </w:r>
      <w:r w:rsidR="002B32B3" w:rsidRPr="006F4FBE">
        <w:rPr>
          <w:rFonts w:ascii="Calibri" w:hAnsi="Calibri" w:cs="Calibri"/>
        </w:rPr>
        <w:t xml:space="preserve"> </w:t>
      </w:r>
      <w:r w:rsidR="002B32B3" w:rsidRPr="00893C2B">
        <w:rPr>
          <w:rFonts w:ascii="Calibri" w:hAnsi="Calibri" w:cs="Calibri"/>
        </w:rPr>
        <w:t xml:space="preserve">estableció lo siguiente: </w:t>
      </w:r>
    </w:p>
    <w:p w14:paraId="418B8BB7" w14:textId="77777777" w:rsidR="00893C2B" w:rsidRPr="00893C2B" w:rsidRDefault="00893C2B" w:rsidP="00893C2B">
      <w:pPr>
        <w:spacing w:line="276" w:lineRule="auto"/>
        <w:jc w:val="both"/>
        <w:rPr>
          <w:rFonts w:ascii="Calibri" w:hAnsi="Calibri" w:cs="Calibri"/>
          <w:i/>
        </w:rPr>
      </w:pPr>
    </w:p>
    <w:p w14:paraId="5C352825" w14:textId="26E530BD" w:rsidR="002B32B3" w:rsidRPr="00893C2B" w:rsidRDefault="002B32B3" w:rsidP="00893C2B">
      <w:pPr>
        <w:spacing w:line="276" w:lineRule="auto"/>
        <w:jc w:val="both"/>
        <w:rPr>
          <w:rFonts w:ascii="Calibri" w:hAnsi="Calibri" w:cs="Calibri"/>
          <w:i/>
        </w:rPr>
      </w:pPr>
      <w:r w:rsidRPr="00893C2B">
        <w:rPr>
          <w:rFonts w:ascii="Calibri" w:hAnsi="Calibri" w:cs="Calibri"/>
          <w:i/>
        </w:rPr>
        <w:t xml:space="preserve"> “La regla general es que no cabe plantear impedimentos o recusaciones por conflicto de intereses con motivo del trámite de una reforma constitucional; estas figuras únicamente son procedentes en casos excepcionales en los que aparezca claramente demostrada la existencia de un interés privado concurrente en cabeza de un miembro del Congreso. Como por regla general las reformas constitucionales afectan por igual a todos los colombianos, independientemente de su condición o no de parlamentario, es inusual que algún congresista se encuentre particularmente privilegiado o perjudicado por un acto legislativo, y que, por lo mismo, de él se predique un conflicto de intereses. No se deben confundir, de un lado, los intereses políticos - inevitables en el ámbito parlamentario y sobre todo cuando se trata de reformar la Constitución- los cuales pueden concurrir con los intereses generales, con los denominados intereses meramente privados que, de otro lado, sí están excluidos por la figura del conflicto de intereses -tales como los intereses económicos particulares del congresista o los intereses meramente personales y subjetivos de orden no político-. De admitirse que los intereses políticos a favor o en contra de una reforma constitucional inhiben a los congresistas de participar en su tramitación, muchas normas de la Carta se tornarían irreformables o pétreas, como por ejemplo todas las normas sobre el Congreso de la República, las elecciones, los partidos, la relación entre el gobierno y la oposición y las entidades territoriales”</w:t>
      </w:r>
    </w:p>
    <w:p w14:paraId="7E51E9AE" w14:textId="77777777" w:rsidR="002B32B3" w:rsidRPr="00893C2B" w:rsidRDefault="002B32B3" w:rsidP="00893C2B">
      <w:pPr>
        <w:spacing w:line="276" w:lineRule="auto"/>
        <w:jc w:val="both"/>
        <w:rPr>
          <w:rFonts w:ascii="Calibri" w:hAnsi="Calibri" w:cs="Calibri"/>
          <w:i/>
        </w:rPr>
      </w:pPr>
    </w:p>
    <w:p w14:paraId="277EBB0A" w14:textId="77777777" w:rsidR="002B32B3" w:rsidRPr="00893C2B" w:rsidRDefault="002B32B3" w:rsidP="00893C2B">
      <w:pPr>
        <w:spacing w:line="276" w:lineRule="auto"/>
        <w:jc w:val="both"/>
        <w:rPr>
          <w:rFonts w:ascii="Calibri" w:hAnsi="Calibri" w:cs="Calibri"/>
        </w:rPr>
      </w:pPr>
      <w:r w:rsidRPr="00893C2B">
        <w:rPr>
          <w:rFonts w:ascii="Calibri" w:hAnsi="Calibri" w:cs="Calibri"/>
        </w:rPr>
        <w:lastRenderedPageBreak/>
        <w:t xml:space="preserve"> </w:t>
      </w:r>
      <w:r w:rsidRPr="00893C2B">
        <w:rPr>
          <w:rFonts w:ascii="Calibri" w:hAnsi="Calibri" w:cs="Calibri"/>
          <w:color w:val="000000" w:themeColor="text1"/>
        </w:rPr>
        <w:t xml:space="preserve">De lo anterior, y de manera meramente orientativa, se considera </w:t>
      </w:r>
      <w:r w:rsidRPr="000943B9">
        <w:rPr>
          <w:rFonts w:ascii="Calibri" w:hAnsi="Calibri"/>
          <w:b/>
          <w:color w:val="000000" w:themeColor="text1"/>
        </w:rPr>
        <w:t>q</w:t>
      </w:r>
      <w:r w:rsidRPr="00893C2B">
        <w:rPr>
          <w:rFonts w:ascii="Calibri" w:hAnsi="Calibri" w:cs="Calibri"/>
          <w:color w:val="000000" w:themeColor="text1"/>
        </w:rPr>
        <w:t>ue, para la discusión y aprobación de este Proyecto de Acto Legislativo,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todo caso, es pertinente aclarar que los conflictos de interés son personales y corresponde a cada Congresista evaluarlos.</w:t>
      </w:r>
    </w:p>
    <w:p w14:paraId="6223F320" w14:textId="5010BB5D" w:rsidR="002C4042" w:rsidRDefault="002C4042"/>
    <w:p w14:paraId="2CF0CA89" w14:textId="2E0D4E61" w:rsidR="00893C2B" w:rsidRDefault="00893C2B" w:rsidP="00893C2B">
      <w:pPr>
        <w:pStyle w:val="Prrafodelista"/>
        <w:numPr>
          <w:ilvl w:val="0"/>
          <w:numId w:val="3"/>
        </w:numPr>
        <w:jc w:val="both"/>
        <w:rPr>
          <w:b/>
          <w:bCs/>
        </w:rPr>
      </w:pPr>
      <w:r w:rsidRPr="00893C2B">
        <w:rPr>
          <w:b/>
          <w:bCs/>
        </w:rPr>
        <w:t>Conclusión</w:t>
      </w:r>
      <w:r>
        <w:rPr>
          <w:b/>
          <w:bCs/>
        </w:rPr>
        <w:t>:</w:t>
      </w:r>
    </w:p>
    <w:p w14:paraId="4F84B974" w14:textId="44F51BF9" w:rsidR="00893C2B" w:rsidRDefault="00893C2B" w:rsidP="00893C2B">
      <w:pPr>
        <w:jc w:val="both"/>
      </w:pPr>
    </w:p>
    <w:p w14:paraId="385AD545" w14:textId="77777777" w:rsidR="0082483D" w:rsidRPr="00B130A7" w:rsidRDefault="0082483D" w:rsidP="00B130A7">
      <w:pPr>
        <w:spacing w:line="276" w:lineRule="auto"/>
        <w:jc w:val="both"/>
        <w:rPr>
          <w:rFonts w:ascii="Calibri" w:hAnsi="Calibri" w:cs="Calibri"/>
          <w:color w:val="000000" w:themeColor="text1"/>
        </w:rPr>
      </w:pPr>
      <w:r w:rsidRPr="00B130A7">
        <w:rPr>
          <w:rFonts w:ascii="Calibri" w:hAnsi="Calibri" w:cs="Calibri"/>
          <w:color w:val="000000" w:themeColor="text1"/>
        </w:rPr>
        <w:t xml:space="preserve">La educación superior ha sido un rasgo distintivo de la ciudad de Manizales desde hace más de 40 años. Esta distinción fue reconocida por la UNESCO al nombrarla una Ciudad del aprendizaje en el año 2019. Manizales es una ciudad que, además de tener diferentes universidades con acreditación de alta calidad, tiene un Sistema Universitario (SUMA) que facilita la cooperación entre las instituciones de educación superior y los procesos formativos, investigativos, administrativos y de proyección que en ellas se realizan. </w:t>
      </w:r>
    </w:p>
    <w:p w14:paraId="0FB47BA8" w14:textId="77777777" w:rsidR="0082483D" w:rsidRPr="00B130A7" w:rsidRDefault="0082483D" w:rsidP="00B130A7">
      <w:pPr>
        <w:spacing w:line="276" w:lineRule="auto"/>
        <w:jc w:val="both"/>
        <w:rPr>
          <w:rFonts w:ascii="Calibri" w:hAnsi="Calibri" w:cs="Calibri"/>
          <w:color w:val="000000" w:themeColor="text1"/>
        </w:rPr>
      </w:pPr>
    </w:p>
    <w:p w14:paraId="19F8895E" w14:textId="77777777" w:rsidR="0082483D" w:rsidRPr="00B130A7" w:rsidRDefault="0082483D" w:rsidP="00B130A7">
      <w:pPr>
        <w:spacing w:line="276" w:lineRule="auto"/>
        <w:jc w:val="both"/>
        <w:rPr>
          <w:rFonts w:ascii="Calibri" w:hAnsi="Calibri" w:cs="Calibri"/>
          <w:color w:val="000000" w:themeColor="text1"/>
        </w:rPr>
      </w:pPr>
      <w:r w:rsidRPr="00B130A7">
        <w:rPr>
          <w:rFonts w:ascii="Calibri" w:hAnsi="Calibri" w:cs="Calibri"/>
          <w:color w:val="000000" w:themeColor="text1"/>
        </w:rPr>
        <w:t>Manizales como ciudad universitaria ha tenido una trayectoria que inició gracias al Concejo municipal de la ciudad, cuando adoptó este nombre por medio del Acuerdo 052 de 1989; más atrás con el surgimiento de las universidades públicas en la ciudad y, posteriormente con las privadas, el sector educativo superior fue cobrando cada vez más fuerza como sello característico en la ciudad. Hoy, por su parte, el Plan de Ordenamiento Territorial (POT) vigente visualiza que Manizales será la “capital universitaria del conocimiento, el emprendimiento y la innovación” en el 2032: una década por delante para lograr este esfuerzo colectivo”.</w:t>
      </w:r>
    </w:p>
    <w:p w14:paraId="6EBA8A80" w14:textId="77777777" w:rsidR="0082483D" w:rsidRPr="00B130A7" w:rsidRDefault="0082483D" w:rsidP="00B130A7">
      <w:pPr>
        <w:spacing w:line="276" w:lineRule="auto"/>
        <w:jc w:val="both"/>
        <w:rPr>
          <w:rFonts w:ascii="Calibri" w:hAnsi="Calibri" w:cs="Calibri"/>
          <w:color w:val="000000" w:themeColor="text1"/>
        </w:rPr>
      </w:pPr>
    </w:p>
    <w:p w14:paraId="056048EA" w14:textId="77777777" w:rsidR="0082483D" w:rsidRPr="00B130A7" w:rsidRDefault="0082483D" w:rsidP="00B130A7">
      <w:pPr>
        <w:spacing w:line="276" w:lineRule="auto"/>
        <w:jc w:val="both"/>
        <w:rPr>
          <w:rFonts w:ascii="Calibri" w:hAnsi="Calibri" w:cs="Calibri"/>
          <w:color w:val="000000" w:themeColor="text1"/>
        </w:rPr>
      </w:pPr>
      <w:r w:rsidRPr="00B130A7">
        <w:rPr>
          <w:rFonts w:ascii="Calibri" w:hAnsi="Calibri" w:cs="Calibri"/>
          <w:color w:val="000000" w:themeColor="text1"/>
        </w:rPr>
        <w:t xml:space="preserve">La vocación universitaria de la ciudad la confirman además las cifras. Anualmente tiene alrededor de 46 mil estudiantes, aproximadamente la mitad de ellos proveniente de otras partes del país e incluso del extranjero. Las cinco universidades con domicilio en la ciudad cuentan con acreditación de alta calidad, tiene el más alto índice de docentes con doctorado por millón de habitantes y se destaca en los diferentes índices de competitividad e innovación gracias a los resultados en pilares de educación superior e investigación de alta calidad. </w:t>
      </w:r>
    </w:p>
    <w:p w14:paraId="59D9E896" w14:textId="77777777" w:rsidR="0082483D" w:rsidRPr="00B130A7" w:rsidRDefault="0082483D" w:rsidP="00B130A7">
      <w:pPr>
        <w:spacing w:line="276" w:lineRule="auto"/>
        <w:jc w:val="both"/>
        <w:rPr>
          <w:rFonts w:ascii="Calibri" w:hAnsi="Calibri" w:cs="Calibri"/>
          <w:color w:val="000000" w:themeColor="text1"/>
        </w:rPr>
      </w:pPr>
    </w:p>
    <w:p w14:paraId="0A3EE8AA" w14:textId="6CFD7573" w:rsidR="00893C2B" w:rsidRPr="00B130A7" w:rsidRDefault="0082483D" w:rsidP="00B130A7">
      <w:pPr>
        <w:spacing w:line="276" w:lineRule="auto"/>
        <w:jc w:val="both"/>
        <w:rPr>
          <w:rFonts w:ascii="Calibri" w:hAnsi="Calibri" w:cs="Calibri"/>
          <w:color w:val="000000" w:themeColor="text1"/>
        </w:rPr>
      </w:pPr>
      <w:r w:rsidRPr="00B130A7">
        <w:rPr>
          <w:rFonts w:ascii="Calibri" w:hAnsi="Calibri" w:cs="Calibri"/>
          <w:color w:val="000000" w:themeColor="text1"/>
        </w:rPr>
        <w:t xml:space="preserve">Gracias a esta vocación, gran parte de la economía de la ciudad está relacionada con el sector universitario, el sector inmobiliario, de transporte, cultural, gastronómico, entre otros. Los diferentes informes de Manizales Como Vamos dan cuenta de la dinámica que representa este sector en la ciudad, con alrededor de $200 mil millones generados por los estudiantes universitarios locales y foráneos, monto asociado a una canasta </w:t>
      </w:r>
      <w:r w:rsidRPr="00B130A7">
        <w:rPr>
          <w:rFonts w:ascii="Calibri" w:hAnsi="Calibri" w:cs="Calibri"/>
          <w:color w:val="000000" w:themeColor="text1"/>
        </w:rPr>
        <w:lastRenderedPageBreak/>
        <w:t>educativa diversa de los estudiantes, como el arrendamiento de vivienda, alimentación, transporte, ocio y recreación, entre otros.</w:t>
      </w:r>
    </w:p>
    <w:p w14:paraId="5B222236" w14:textId="77777777" w:rsidR="002F2CB8" w:rsidRDefault="002F2CB8" w:rsidP="0082483D">
      <w:pPr>
        <w:jc w:val="both"/>
      </w:pPr>
    </w:p>
    <w:p w14:paraId="2C914C4F" w14:textId="4FF5F450" w:rsidR="0059701D" w:rsidRPr="00BC7DD4" w:rsidRDefault="0059701D" w:rsidP="00BC7DD4">
      <w:pPr>
        <w:jc w:val="both"/>
        <w:rPr>
          <w:b/>
          <w:bCs/>
        </w:rPr>
      </w:pPr>
    </w:p>
    <w:p w14:paraId="3DF95193" w14:textId="4D0C103B" w:rsidR="0082483D" w:rsidRPr="0082483D" w:rsidRDefault="0082483D" w:rsidP="0082483D">
      <w:pPr>
        <w:pStyle w:val="Prrafodelista"/>
        <w:numPr>
          <w:ilvl w:val="0"/>
          <w:numId w:val="3"/>
        </w:numPr>
        <w:jc w:val="both"/>
        <w:rPr>
          <w:b/>
          <w:bCs/>
        </w:rPr>
      </w:pPr>
      <w:r w:rsidRPr="0082483D">
        <w:rPr>
          <w:b/>
          <w:bCs/>
        </w:rPr>
        <w:t>Proposición:</w:t>
      </w:r>
    </w:p>
    <w:p w14:paraId="713ECCB1" w14:textId="2A896592" w:rsidR="0082483D" w:rsidRDefault="0082483D" w:rsidP="0082483D">
      <w:pPr>
        <w:jc w:val="both"/>
      </w:pPr>
    </w:p>
    <w:p w14:paraId="791A8CB9" w14:textId="101005D9" w:rsidR="0082483D" w:rsidRPr="00B130A7" w:rsidRDefault="0082483D" w:rsidP="00B130A7">
      <w:pPr>
        <w:spacing w:line="276" w:lineRule="auto"/>
        <w:jc w:val="both"/>
        <w:rPr>
          <w:rFonts w:ascii="Calibri" w:hAnsi="Calibri" w:cs="Calibri"/>
          <w:color w:val="000000" w:themeColor="text1"/>
        </w:rPr>
      </w:pPr>
      <w:r w:rsidRPr="00B130A7">
        <w:rPr>
          <w:rFonts w:ascii="Calibri" w:hAnsi="Calibri" w:cs="Calibri"/>
          <w:color w:val="000000" w:themeColor="text1"/>
        </w:rPr>
        <w:t xml:space="preserve">Con base en las consideraciones presentadas, solicito </w:t>
      </w:r>
      <w:r w:rsidR="00A1715F">
        <w:rPr>
          <w:rFonts w:ascii="Calibri" w:hAnsi="Calibri" w:cs="Calibri"/>
          <w:color w:val="000000" w:themeColor="text1"/>
        </w:rPr>
        <w:t xml:space="preserve">a la </w:t>
      </w:r>
      <w:r w:rsidR="0069524D">
        <w:rPr>
          <w:rFonts w:ascii="Calibri" w:hAnsi="Calibri" w:cs="Calibri"/>
          <w:color w:val="000000" w:themeColor="text1"/>
        </w:rPr>
        <w:t xml:space="preserve">plenaria de la </w:t>
      </w:r>
      <w:r w:rsidR="00A1715F">
        <w:rPr>
          <w:rFonts w:ascii="Calibri" w:hAnsi="Calibri" w:cs="Calibri"/>
          <w:color w:val="000000" w:themeColor="text1"/>
        </w:rPr>
        <w:t xml:space="preserve">Honorable </w:t>
      </w:r>
      <w:r w:rsidR="0069524D">
        <w:rPr>
          <w:rFonts w:ascii="Calibri" w:hAnsi="Calibri" w:cs="Calibri"/>
          <w:color w:val="000000" w:themeColor="text1"/>
        </w:rPr>
        <w:t>Cámara de Representantes</w:t>
      </w:r>
      <w:r w:rsidRPr="00B130A7">
        <w:rPr>
          <w:rFonts w:ascii="Calibri" w:hAnsi="Calibri" w:cs="Calibri"/>
          <w:color w:val="000000" w:themeColor="text1"/>
        </w:rPr>
        <w:t xml:space="preserve">, poner en consideración el informe de ponencia positiva que se presenta para el </w:t>
      </w:r>
      <w:r w:rsidR="0069524D">
        <w:rPr>
          <w:rFonts w:ascii="Calibri" w:hAnsi="Calibri" w:cs="Calibri"/>
          <w:color w:val="000000" w:themeColor="text1"/>
        </w:rPr>
        <w:t>segundo</w:t>
      </w:r>
      <w:r w:rsidRPr="00B130A7">
        <w:rPr>
          <w:rFonts w:ascii="Calibri" w:hAnsi="Calibri" w:cs="Calibri"/>
          <w:color w:val="000000" w:themeColor="text1"/>
        </w:rPr>
        <w:t xml:space="preserve"> debate del Proyecto de Acto Legislativo Nº </w:t>
      </w:r>
      <w:r w:rsidR="00BB6839">
        <w:rPr>
          <w:rFonts w:ascii="Calibri" w:hAnsi="Calibri" w:cs="Calibri"/>
          <w:color w:val="000000" w:themeColor="text1"/>
        </w:rPr>
        <w:t>033</w:t>
      </w:r>
      <w:r w:rsidRPr="00B130A7">
        <w:rPr>
          <w:rFonts w:ascii="Calibri" w:hAnsi="Calibri" w:cs="Calibri"/>
          <w:color w:val="000000" w:themeColor="text1"/>
        </w:rPr>
        <w:t xml:space="preserve"> de 202</w:t>
      </w:r>
      <w:r w:rsidR="00BB6839">
        <w:rPr>
          <w:rFonts w:ascii="Calibri" w:hAnsi="Calibri" w:cs="Calibri"/>
          <w:color w:val="000000" w:themeColor="text1"/>
        </w:rPr>
        <w:t>3</w:t>
      </w:r>
      <w:r w:rsidRPr="00B130A7">
        <w:rPr>
          <w:rFonts w:ascii="Calibri" w:hAnsi="Calibri" w:cs="Calibri"/>
          <w:color w:val="000000" w:themeColor="text1"/>
        </w:rPr>
        <w:t xml:space="preserve"> Cámara</w:t>
      </w:r>
      <w:r w:rsidR="0051109A">
        <w:rPr>
          <w:rFonts w:ascii="Calibri" w:hAnsi="Calibri" w:cs="Calibri"/>
          <w:color w:val="000000" w:themeColor="text1"/>
        </w:rPr>
        <w:t xml:space="preserve"> </w:t>
      </w:r>
      <w:r w:rsidR="00025724">
        <w:rPr>
          <w:rFonts w:ascii="Calibri" w:hAnsi="Calibri" w:cs="Calibri"/>
          <w:color w:val="000000" w:themeColor="text1"/>
        </w:rPr>
        <w:t>-</w:t>
      </w:r>
      <w:r w:rsidR="0051109A">
        <w:rPr>
          <w:rFonts w:ascii="Calibri" w:hAnsi="Calibri" w:cs="Calibri"/>
          <w:color w:val="000000" w:themeColor="text1"/>
        </w:rPr>
        <w:t>Pri</w:t>
      </w:r>
      <w:r w:rsidR="0051109A" w:rsidRPr="0051109A">
        <w:rPr>
          <w:rFonts w:ascii="Calibri" w:hAnsi="Calibri" w:cs="Calibri"/>
          <w:color w:val="000000" w:themeColor="text1"/>
        </w:rPr>
        <w:t>m</w:t>
      </w:r>
      <w:r w:rsidR="0051109A">
        <w:rPr>
          <w:rFonts w:ascii="Calibri" w:hAnsi="Calibri" w:cs="Calibri"/>
          <w:color w:val="000000" w:themeColor="text1"/>
        </w:rPr>
        <w:t>era Vuelta-</w:t>
      </w:r>
      <w:r w:rsidRPr="00B130A7">
        <w:rPr>
          <w:rFonts w:ascii="Calibri" w:hAnsi="Calibri" w:cs="Calibri"/>
          <w:color w:val="000000" w:themeColor="text1"/>
        </w:rPr>
        <w:t xml:space="preserve"> “</w:t>
      </w:r>
      <w:r w:rsidR="00BB6839" w:rsidRPr="00BB6839">
        <w:rPr>
          <w:rFonts w:ascii="Calibri" w:hAnsi="Calibri" w:cs="Calibri"/>
          <w:color w:val="000000" w:themeColor="text1"/>
        </w:rPr>
        <w:t>Por el cual se otorga la categoría de distrito especial eje del conocimiento al municipio de Manizales en el departamento de Caldas</w:t>
      </w:r>
      <w:r w:rsidR="00BB6839">
        <w:rPr>
          <w:rFonts w:ascii="Calibri" w:hAnsi="Calibri" w:cs="Calibri"/>
          <w:color w:val="000000" w:themeColor="text1"/>
        </w:rPr>
        <w:t>”</w:t>
      </w:r>
      <w:r w:rsidR="0069524D">
        <w:rPr>
          <w:rFonts w:ascii="Calibri" w:hAnsi="Calibri" w:cs="Calibri"/>
          <w:color w:val="000000" w:themeColor="text1"/>
        </w:rPr>
        <w:t>, acogiendo el texto aprobado por la Comisión Primera Constitucional Permanente</w:t>
      </w:r>
      <w:r w:rsidR="00BB6839">
        <w:rPr>
          <w:rFonts w:ascii="Calibri" w:hAnsi="Calibri" w:cs="Calibri"/>
          <w:color w:val="000000" w:themeColor="text1"/>
        </w:rPr>
        <w:t>.</w:t>
      </w:r>
    </w:p>
    <w:p w14:paraId="5A7F213D" w14:textId="5A2B0437" w:rsidR="0082483D" w:rsidRPr="00B130A7" w:rsidRDefault="0082483D" w:rsidP="00B130A7">
      <w:pPr>
        <w:spacing w:line="276" w:lineRule="auto"/>
        <w:jc w:val="both"/>
        <w:rPr>
          <w:rFonts w:ascii="Calibri" w:hAnsi="Calibri" w:cs="Calibri"/>
          <w:color w:val="000000" w:themeColor="text1"/>
        </w:rPr>
      </w:pPr>
    </w:p>
    <w:p w14:paraId="3F4D90C4" w14:textId="1DB7806E" w:rsidR="0082483D" w:rsidRPr="00B130A7" w:rsidRDefault="0082483D" w:rsidP="00B130A7">
      <w:pPr>
        <w:spacing w:line="276" w:lineRule="auto"/>
        <w:jc w:val="both"/>
        <w:rPr>
          <w:rFonts w:ascii="Calibri" w:hAnsi="Calibri" w:cs="Calibri"/>
          <w:color w:val="000000" w:themeColor="text1"/>
        </w:rPr>
      </w:pPr>
    </w:p>
    <w:p w14:paraId="6B7E0060" w14:textId="77777777" w:rsidR="00BB6839" w:rsidRDefault="00BB6839" w:rsidP="00BB6839">
      <w:pPr>
        <w:jc w:val="both"/>
      </w:pPr>
      <w:r>
        <w:t>Firma el Honorable Representante,</w:t>
      </w:r>
    </w:p>
    <w:p w14:paraId="5BE148C7" w14:textId="77777777" w:rsidR="00BB6839" w:rsidRDefault="00BB6839" w:rsidP="00BB6839">
      <w:pPr>
        <w:jc w:val="both"/>
      </w:pPr>
    </w:p>
    <w:p w14:paraId="6CB1D554" w14:textId="77777777" w:rsidR="00BB6839" w:rsidRDefault="00BB6839" w:rsidP="00BB6839">
      <w:pPr>
        <w:jc w:val="both"/>
      </w:pPr>
    </w:p>
    <w:p w14:paraId="7D51EBF3" w14:textId="77777777" w:rsidR="00BB6839" w:rsidRDefault="00BB6839" w:rsidP="00BB6839">
      <w:pPr>
        <w:jc w:val="both"/>
      </w:pPr>
    </w:p>
    <w:p w14:paraId="4AD5D3F8" w14:textId="77777777" w:rsidR="00BB6839" w:rsidRDefault="00BB6839" w:rsidP="00BB6839">
      <w:pPr>
        <w:jc w:val="both"/>
      </w:pPr>
    </w:p>
    <w:p w14:paraId="0831B354" w14:textId="77777777" w:rsidR="00BB6839" w:rsidRDefault="00BB6839" w:rsidP="00BB6839">
      <w:pPr>
        <w:jc w:val="both"/>
      </w:pPr>
    </w:p>
    <w:p w14:paraId="75B95602" w14:textId="77777777" w:rsidR="00BB6839" w:rsidRPr="00215160" w:rsidRDefault="00BB6839" w:rsidP="00BB6839">
      <w:pPr>
        <w:jc w:val="both"/>
        <w:rPr>
          <w:b/>
          <w:bCs/>
        </w:rPr>
      </w:pPr>
      <w:r>
        <w:rPr>
          <w:b/>
          <w:bCs/>
        </w:rPr>
        <w:t>JUÁN SEBASTIAN GÓMEZ GONZÁLES</w:t>
      </w:r>
    </w:p>
    <w:p w14:paraId="62258947" w14:textId="77777777" w:rsidR="00BB6839" w:rsidRPr="002C4042" w:rsidRDefault="00BB6839" w:rsidP="00BB6839">
      <w:pPr>
        <w:jc w:val="both"/>
      </w:pPr>
      <w:r>
        <w:t>Ponente</w:t>
      </w:r>
    </w:p>
    <w:p w14:paraId="1CAA9710" w14:textId="5771F111" w:rsidR="0082483D" w:rsidRDefault="0082483D" w:rsidP="0082483D">
      <w:pPr>
        <w:jc w:val="both"/>
      </w:pPr>
    </w:p>
    <w:p w14:paraId="4939F21E" w14:textId="4F0A33AD" w:rsidR="0082483D" w:rsidRDefault="0082483D" w:rsidP="0082483D">
      <w:pPr>
        <w:jc w:val="both"/>
      </w:pPr>
    </w:p>
    <w:p w14:paraId="556D5853" w14:textId="56DC1C18" w:rsidR="0082483D" w:rsidRDefault="0082483D" w:rsidP="0082483D">
      <w:pPr>
        <w:jc w:val="center"/>
      </w:pPr>
    </w:p>
    <w:p w14:paraId="552EB69C" w14:textId="7C205C1B" w:rsidR="0082483D" w:rsidRDefault="0082483D" w:rsidP="0082483D">
      <w:pPr>
        <w:jc w:val="center"/>
      </w:pPr>
    </w:p>
    <w:p w14:paraId="007A650F" w14:textId="72839DA1" w:rsidR="0082483D" w:rsidRDefault="0082483D" w:rsidP="0082483D">
      <w:pPr>
        <w:jc w:val="center"/>
      </w:pPr>
    </w:p>
    <w:p w14:paraId="3E4317A2" w14:textId="2EEE87AE" w:rsidR="0082483D" w:rsidRDefault="0082483D" w:rsidP="0082483D">
      <w:pPr>
        <w:jc w:val="center"/>
      </w:pPr>
    </w:p>
    <w:p w14:paraId="0FD7F249" w14:textId="6A76865A" w:rsidR="0082483D" w:rsidRDefault="0082483D" w:rsidP="0082483D">
      <w:pPr>
        <w:jc w:val="center"/>
      </w:pPr>
    </w:p>
    <w:p w14:paraId="3709AA3C" w14:textId="77777777" w:rsidR="00025724" w:rsidRDefault="00025724" w:rsidP="0082483D">
      <w:pPr>
        <w:jc w:val="center"/>
      </w:pPr>
    </w:p>
    <w:p w14:paraId="5156E5AE" w14:textId="59E06895" w:rsidR="00025724" w:rsidRDefault="00025724" w:rsidP="00010CE1"/>
    <w:p w14:paraId="11190D47" w14:textId="77777777" w:rsidR="00010CE1" w:rsidRDefault="00010CE1" w:rsidP="00010CE1"/>
    <w:p w14:paraId="0DB63043" w14:textId="77777777" w:rsidR="00025724" w:rsidRDefault="00025724" w:rsidP="0082483D">
      <w:pPr>
        <w:jc w:val="center"/>
      </w:pPr>
    </w:p>
    <w:p w14:paraId="21662AF8" w14:textId="77777777" w:rsidR="00025724" w:rsidRDefault="00025724" w:rsidP="0082483D">
      <w:pPr>
        <w:jc w:val="center"/>
      </w:pPr>
    </w:p>
    <w:p w14:paraId="678B4183" w14:textId="77777777" w:rsidR="00025724" w:rsidRDefault="00025724" w:rsidP="0082483D">
      <w:pPr>
        <w:jc w:val="center"/>
      </w:pPr>
    </w:p>
    <w:p w14:paraId="645D1B20" w14:textId="77777777" w:rsidR="00025724" w:rsidRDefault="00025724" w:rsidP="0082483D">
      <w:pPr>
        <w:jc w:val="center"/>
      </w:pPr>
    </w:p>
    <w:p w14:paraId="62E680FA" w14:textId="77777777" w:rsidR="00025724" w:rsidRDefault="00025724" w:rsidP="0082483D">
      <w:pPr>
        <w:jc w:val="center"/>
      </w:pPr>
    </w:p>
    <w:p w14:paraId="3FEED54E" w14:textId="77777777" w:rsidR="00025724" w:rsidRDefault="00025724" w:rsidP="0082483D">
      <w:pPr>
        <w:jc w:val="center"/>
      </w:pPr>
    </w:p>
    <w:p w14:paraId="4879ED0C" w14:textId="77777777" w:rsidR="00025724" w:rsidRDefault="00025724" w:rsidP="0082483D">
      <w:pPr>
        <w:jc w:val="center"/>
      </w:pPr>
    </w:p>
    <w:p w14:paraId="0887CBCA" w14:textId="77777777" w:rsidR="00025724" w:rsidRDefault="00025724" w:rsidP="0082483D">
      <w:pPr>
        <w:jc w:val="center"/>
      </w:pPr>
    </w:p>
    <w:p w14:paraId="5CA1C379" w14:textId="77777777" w:rsidR="00025724" w:rsidRDefault="00025724" w:rsidP="0082483D">
      <w:pPr>
        <w:jc w:val="center"/>
      </w:pPr>
    </w:p>
    <w:p w14:paraId="72FD6DC7" w14:textId="77777777" w:rsidR="00E657E4" w:rsidRDefault="00E657E4" w:rsidP="0082483D">
      <w:pPr>
        <w:jc w:val="center"/>
      </w:pPr>
    </w:p>
    <w:p w14:paraId="44D4D08C" w14:textId="77777777" w:rsidR="00025724" w:rsidRDefault="00025724" w:rsidP="0082483D">
      <w:pPr>
        <w:jc w:val="center"/>
      </w:pPr>
    </w:p>
    <w:p w14:paraId="597B43AD" w14:textId="77777777" w:rsidR="00DF2168" w:rsidRDefault="00DF2168" w:rsidP="00B83EA7">
      <w:pPr>
        <w:rPr>
          <w:b/>
          <w:bCs/>
        </w:rPr>
      </w:pPr>
    </w:p>
    <w:p w14:paraId="24255EE6" w14:textId="77777777" w:rsidR="00010CE1" w:rsidRDefault="00010CE1" w:rsidP="00DF2168">
      <w:pPr>
        <w:jc w:val="center"/>
        <w:rPr>
          <w:b/>
          <w:bCs/>
        </w:rPr>
      </w:pPr>
    </w:p>
    <w:p w14:paraId="0330785D" w14:textId="55EDF037" w:rsidR="00985E9B" w:rsidRDefault="0082483D" w:rsidP="00DF2168">
      <w:pPr>
        <w:jc w:val="center"/>
        <w:rPr>
          <w:b/>
          <w:bCs/>
        </w:rPr>
      </w:pPr>
      <w:r w:rsidRPr="005E0C91">
        <w:rPr>
          <w:b/>
          <w:bCs/>
        </w:rPr>
        <w:lastRenderedPageBreak/>
        <w:t xml:space="preserve">TEXTO PROPUESTO PARA </w:t>
      </w:r>
      <w:r w:rsidR="0069524D">
        <w:rPr>
          <w:b/>
          <w:bCs/>
        </w:rPr>
        <w:t>SEGUNDO</w:t>
      </w:r>
      <w:r w:rsidRPr="005E0C91">
        <w:rPr>
          <w:b/>
          <w:bCs/>
        </w:rPr>
        <w:t xml:space="preserve"> DEBATE</w:t>
      </w:r>
    </w:p>
    <w:p w14:paraId="0B8B3E2E" w14:textId="27ABC1A4" w:rsidR="00025724" w:rsidRPr="005E0C91" w:rsidRDefault="00025724" w:rsidP="0082483D">
      <w:pPr>
        <w:jc w:val="center"/>
        <w:rPr>
          <w:b/>
          <w:bCs/>
        </w:rPr>
      </w:pPr>
      <w:r>
        <w:rPr>
          <w:b/>
          <w:bCs/>
        </w:rPr>
        <w:t>PRI</w:t>
      </w:r>
      <w:r w:rsidRPr="00025724">
        <w:rPr>
          <w:b/>
          <w:bCs/>
        </w:rPr>
        <w:t>M</w:t>
      </w:r>
      <w:r>
        <w:rPr>
          <w:b/>
          <w:bCs/>
        </w:rPr>
        <w:t>ERA VUELTA</w:t>
      </w:r>
    </w:p>
    <w:p w14:paraId="09FB0B08" w14:textId="7EE2E11C" w:rsidR="0082483D" w:rsidRPr="005E0C91" w:rsidRDefault="0082483D" w:rsidP="0082483D">
      <w:pPr>
        <w:jc w:val="center"/>
        <w:rPr>
          <w:b/>
          <w:bCs/>
        </w:rPr>
      </w:pPr>
    </w:p>
    <w:p w14:paraId="03927791" w14:textId="4CA4DBCF" w:rsidR="0082483D" w:rsidRPr="005E0C91" w:rsidRDefault="0082483D" w:rsidP="0082483D">
      <w:pPr>
        <w:jc w:val="center"/>
        <w:rPr>
          <w:b/>
          <w:bCs/>
        </w:rPr>
      </w:pPr>
      <w:r w:rsidRPr="005E0C91">
        <w:rPr>
          <w:b/>
          <w:bCs/>
        </w:rPr>
        <w:t xml:space="preserve">Proyecto de Acto Legislativo Nº </w:t>
      </w:r>
      <w:r w:rsidR="00147EC4">
        <w:rPr>
          <w:b/>
          <w:bCs/>
        </w:rPr>
        <w:t>033</w:t>
      </w:r>
      <w:r w:rsidRPr="005E0C91">
        <w:rPr>
          <w:b/>
          <w:bCs/>
        </w:rPr>
        <w:t xml:space="preserve"> de 202</w:t>
      </w:r>
      <w:r w:rsidR="00147EC4">
        <w:rPr>
          <w:b/>
          <w:bCs/>
        </w:rPr>
        <w:t>3</w:t>
      </w:r>
      <w:r w:rsidRPr="005E0C91">
        <w:rPr>
          <w:b/>
          <w:bCs/>
        </w:rPr>
        <w:t xml:space="preserve"> Cámara </w:t>
      </w:r>
    </w:p>
    <w:p w14:paraId="4D49FD40" w14:textId="77777777" w:rsidR="0082483D" w:rsidRPr="005E0C91" w:rsidRDefault="0082483D" w:rsidP="0082483D">
      <w:pPr>
        <w:jc w:val="center"/>
        <w:rPr>
          <w:b/>
          <w:bCs/>
        </w:rPr>
      </w:pPr>
    </w:p>
    <w:p w14:paraId="7AB5520F" w14:textId="52BC94F8" w:rsidR="0082483D" w:rsidRDefault="00985E9B" w:rsidP="0082483D">
      <w:pPr>
        <w:jc w:val="center"/>
      </w:pPr>
      <w:r w:rsidRPr="00BB6839">
        <w:rPr>
          <w:b/>
          <w:bCs/>
        </w:rPr>
        <w:t>Por el cual se otorga la categoría de distrito especial eje del conocimiento al municipio de Manizales en el departamento de Caldas</w:t>
      </w:r>
    </w:p>
    <w:p w14:paraId="13B82276" w14:textId="1A0EB561" w:rsidR="0082483D" w:rsidRDefault="0082483D" w:rsidP="0082483D">
      <w:pPr>
        <w:jc w:val="center"/>
      </w:pPr>
    </w:p>
    <w:p w14:paraId="4150F9AB" w14:textId="01B719B6" w:rsidR="0082483D" w:rsidRDefault="0082483D" w:rsidP="0082483D">
      <w:pPr>
        <w:jc w:val="center"/>
      </w:pPr>
      <w:r>
        <w:t>EL CONGRESO DE COLOMBIA</w:t>
      </w:r>
    </w:p>
    <w:p w14:paraId="68621C3A" w14:textId="16E1D75C" w:rsidR="0082483D" w:rsidRDefault="0082483D" w:rsidP="0082483D">
      <w:pPr>
        <w:jc w:val="center"/>
      </w:pPr>
    </w:p>
    <w:p w14:paraId="710F9952" w14:textId="1A4F7DE0" w:rsidR="0082483D" w:rsidRDefault="0082483D" w:rsidP="0082483D">
      <w:pPr>
        <w:jc w:val="center"/>
      </w:pPr>
      <w:r>
        <w:t>DECRETA:</w:t>
      </w:r>
    </w:p>
    <w:p w14:paraId="769CB87D" w14:textId="755E8380" w:rsidR="0082483D" w:rsidRDefault="0082483D" w:rsidP="0082483D">
      <w:pPr>
        <w:jc w:val="center"/>
      </w:pPr>
    </w:p>
    <w:p w14:paraId="55B40E10" w14:textId="7F0AF072" w:rsidR="00985E9B" w:rsidRPr="00985E9B" w:rsidRDefault="00985E9B" w:rsidP="00985E9B">
      <w:pPr>
        <w:spacing w:line="276" w:lineRule="auto"/>
        <w:jc w:val="both"/>
        <w:rPr>
          <w:rFonts w:ascii="Calibri" w:hAnsi="Calibri" w:cs="Calibri"/>
          <w:lang w:val="es-ES"/>
        </w:rPr>
      </w:pPr>
      <w:r w:rsidRPr="00DF2168">
        <w:rPr>
          <w:rFonts w:ascii="Calibri" w:hAnsi="Calibri" w:cs="Calibri"/>
          <w:b/>
          <w:bCs/>
          <w:lang w:val="es-ES"/>
        </w:rPr>
        <w:t>Artículo 1º.</w:t>
      </w:r>
      <w:r w:rsidRPr="00985E9B">
        <w:rPr>
          <w:rFonts w:ascii="Calibri" w:hAnsi="Calibri" w:cs="Calibri"/>
          <w:lang w:val="es-ES"/>
        </w:rPr>
        <w:t xml:space="preserve"> </w:t>
      </w:r>
      <w:r w:rsidR="00DF2168">
        <w:rPr>
          <w:rFonts w:ascii="Calibri" w:hAnsi="Calibri" w:cs="Calibri"/>
          <w:lang w:val="es-ES"/>
        </w:rPr>
        <w:t xml:space="preserve"> </w:t>
      </w:r>
      <w:r w:rsidRPr="00985E9B">
        <w:rPr>
          <w:rFonts w:ascii="Calibri" w:hAnsi="Calibri" w:cs="Calibri"/>
          <w:lang w:val="es-ES"/>
        </w:rPr>
        <w:t>Adiciónese el siguiente inciso al artículo 328 de la Constitución Política:</w:t>
      </w:r>
    </w:p>
    <w:p w14:paraId="778C6DA0" w14:textId="77777777" w:rsidR="00985E9B" w:rsidRPr="00985E9B" w:rsidRDefault="00985E9B" w:rsidP="00985E9B">
      <w:pPr>
        <w:spacing w:line="276" w:lineRule="auto"/>
        <w:jc w:val="both"/>
        <w:rPr>
          <w:rFonts w:ascii="Calibri" w:hAnsi="Calibri" w:cs="Calibri"/>
          <w:lang w:val="es-ES"/>
        </w:rPr>
      </w:pPr>
    </w:p>
    <w:p w14:paraId="61568FF4" w14:textId="77777777" w:rsidR="00985E9B" w:rsidRPr="00DF2168" w:rsidRDefault="00985E9B" w:rsidP="00985E9B">
      <w:pPr>
        <w:spacing w:line="276" w:lineRule="auto"/>
        <w:jc w:val="both"/>
        <w:rPr>
          <w:rFonts w:ascii="Calibri" w:hAnsi="Calibri" w:cs="Calibri"/>
          <w:lang w:val="es-ES"/>
        </w:rPr>
      </w:pPr>
      <w:r w:rsidRPr="00DF2168">
        <w:rPr>
          <w:rFonts w:ascii="Calibri" w:hAnsi="Calibri" w:cs="Calibri"/>
          <w:lang w:val="es-ES"/>
        </w:rPr>
        <w:t>La ciudad de Manizales se organiza como Distrito Especial eje del Conocimiento.</w:t>
      </w:r>
    </w:p>
    <w:p w14:paraId="50DD7528" w14:textId="77777777" w:rsidR="00985E9B" w:rsidRPr="00985E9B" w:rsidRDefault="00985E9B" w:rsidP="00985E9B">
      <w:pPr>
        <w:spacing w:line="276" w:lineRule="auto"/>
        <w:jc w:val="both"/>
        <w:rPr>
          <w:rFonts w:ascii="Calibri" w:hAnsi="Calibri" w:cs="Calibri"/>
          <w:lang w:val="es-ES"/>
        </w:rPr>
      </w:pPr>
    </w:p>
    <w:p w14:paraId="5AE4607D" w14:textId="77777777" w:rsidR="00985E9B" w:rsidRPr="00985E9B" w:rsidRDefault="00985E9B" w:rsidP="00985E9B">
      <w:pPr>
        <w:spacing w:line="276" w:lineRule="auto"/>
        <w:jc w:val="both"/>
        <w:rPr>
          <w:rFonts w:ascii="Calibri" w:hAnsi="Calibri" w:cs="Calibri"/>
          <w:lang w:val="es-ES"/>
        </w:rPr>
      </w:pPr>
      <w:r w:rsidRPr="00DF2168">
        <w:rPr>
          <w:rFonts w:ascii="Calibri" w:hAnsi="Calibri" w:cs="Calibri"/>
          <w:b/>
          <w:bCs/>
          <w:lang w:val="es-ES"/>
        </w:rPr>
        <w:t xml:space="preserve">Artículo 2º. </w:t>
      </w:r>
      <w:r w:rsidRPr="00985E9B">
        <w:rPr>
          <w:rFonts w:ascii="Calibri" w:hAnsi="Calibri" w:cs="Calibri"/>
          <w:lang w:val="es-ES"/>
        </w:rPr>
        <w:t>Adiciónese el siguiente inciso al artículo 356 de la Constitución Política:</w:t>
      </w:r>
    </w:p>
    <w:p w14:paraId="065676E7" w14:textId="77777777" w:rsidR="00985E9B" w:rsidRPr="00985E9B" w:rsidRDefault="00985E9B" w:rsidP="00985E9B">
      <w:pPr>
        <w:spacing w:line="276" w:lineRule="auto"/>
        <w:jc w:val="both"/>
        <w:rPr>
          <w:rFonts w:ascii="Calibri" w:hAnsi="Calibri" w:cs="Calibri"/>
          <w:lang w:val="es-ES"/>
        </w:rPr>
      </w:pPr>
    </w:p>
    <w:p w14:paraId="3E1C2714" w14:textId="77777777" w:rsidR="00985E9B" w:rsidRPr="00DF2168" w:rsidRDefault="00985E9B" w:rsidP="00985E9B">
      <w:pPr>
        <w:spacing w:line="276" w:lineRule="auto"/>
        <w:jc w:val="both"/>
        <w:rPr>
          <w:rFonts w:ascii="Calibri" w:hAnsi="Calibri" w:cs="Calibri"/>
          <w:lang w:val="es-ES"/>
        </w:rPr>
      </w:pPr>
      <w:r w:rsidRPr="00DF2168">
        <w:rPr>
          <w:rFonts w:ascii="Calibri" w:hAnsi="Calibri" w:cs="Calibri"/>
          <w:lang w:val="es-ES"/>
        </w:rPr>
        <w:t>La ciudad de Manizales se organiza como Distrito Especial eje del Conocimiento. Su régimen político y fiscal será el previsto en la Constitución y las leyes especiales que para el efecto se dicten.</w:t>
      </w:r>
    </w:p>
    <w:p w14:paraId="5913F5B8" w14:textId="77777777" w:rsidR="00985E9B" w:rsidRPr="00985E9B" w:rsidRDefault="00985E9B" w:rsidP="00985E9B">
      <w:pPr>
        <w:spacing w:line="276" w:lineRule="auto"/>
        <w:jc w:val="both"/>
        <w:rPr>
          <w:rFonts w:ascii="Calibri" w:hAnsi="Calibri" w:cs="Calibri"/>
          <w:lang w:val="es-ES"/>
        </w:rPr>
      </w:pPr>
    </w:p>
    <w:p w14:paraId="4D2C4B91" w14:textId="4FBC917C" w:rsidR="00CC6B30" w:rsidRPr="00DF2168" w:rsidRDefault="00985E9B" w:rsidP="00CC6B30">
      <w:pPr>
        <w:spacing w:line="276" w:lineRule="auto"/>
        <w:jc w:val="both"/>
        <w:rPr>
          <w:rFonts w:ascii="Calibri" w:hAnsi="Calibri" w:cs="Calibri"/>
          <w:b/>
          <w:bCs/>
          <w:lang w:val="es-ES"/>
        </w:rPr>
      </w:pPr>
      <w:r w:rsidRPr="00DF2168">
        <w:rPr>
          <w:rFonts w:ascii="Calibri" w:hAnsi="Calibri" w:cs="Calibri"/>
          <w:b/>
          <w:bCs/>
          <w:lang w:val="es-ES"/>
        </w:rPr>
        <w:t xml:space="preserve">Artículo 3º. </w:t>
      </w:r>
      <w:r w:rsidRPr="00DF2168">
        <w:rPr>
          <w:rFonts w:ascii="Calibri" w:hAnsi="Calibri" w:cs="Calibri"/>
          <w:lang w:val="es-ES"/>
        </w:rPr>
        <w:t>Adiciónese un parágrafo al artículo 356 de la Constitución Política</w:t>
      </w:r>
      <w:r w:rsidR="00CC6B30" w:rsidRPr="00DF2168">
        <w:rPr>
          <w:rFonts w:ascii="Calibri" w:hAnsi="Calibri" w:cs="Calibri"/>
          <w:lang w:val="es-ES"/>
        </w:rPr>
        <w:t>, el cual quedará así:</w:t>
      </w:r>
    </w:p>
    <w:p w14:paraId="375BE353" w14:textId="77777777" w:rsidR="00CC6B30" w:rsidRPr="00CC6B30" w:rsidRDefault="00CC6B30" w:rsidP="00CC6B30">
      <w:pPr>
        <w:spacing w:line="276" w:lineRule="auto"/>
        <w:jc w:val="both"/>
        <w:rPr>
          <w:rFonts w:ascii="Calibri" w:hAnsi="Calibri" w:cs="Calibri"/>
          <w:b/>
          <w:bCs/>
          <w:u w:val="single"/>
          <w:lang w:val="es-ES"/>
        </w:rPr>
      </w:pPr>
    </w:p>
    <w:p w14:paraId="5F9B5A71" w14:textId="2267555C" w:rsidR="00CC6B30" w:rsidRPr="00DF2168" w:rsidRDefault="00CC6B30" w:rsidP="00CC6B30">
      <w:pPr>
        <w:spacing w:line="276" w:lineRule="auto"/>
        <w:jc w:val="both"/>
        <w:rPr>
          <w:rFonts w:ascii="Calibri" w:hAnsi="Calibri" w:cs="Calibri"/>
          <w:lang w:val="es-ES"/>
        </w:rPr>
      </w:pPr>
      <w:r w:rsidRPr="00DF2168">
        <w:rPr>
          <w:rFonts w:ascii="Calibri" w:hAnsi="Calibri" w:cs="Calibri"/>
          <w:lang w:val="es-ES"/>
        </w:rPr>
        <w:t xml:space="preserve">Parágrafo 2. División político-administrativa y jurisdicción Distrital. El Distrito Especial de Manizales eje del conocimiento no estará obligado a efectuar ajustes administrativos que aumenten sus costos y podrá mantener la actual división político-administrativa de su jurisdicción. </w:t>
      </w:r>
    </w:p>
    <w:p w14:paraId="65E997F6" w14:textId="77777777" w:rsidR="00CC6B30" w:rsidRPr="00DF2168" w:rsidRDefault="00CC6B30" w:rsidP="00CC6B30">
      <w:pPr>
        <w:spacing w:line="276" w:lineRule="auto"/>
        <w:jc w:val="both"/>
        <w:rPr>
          <w:rFonts w:ascii="Calibri" w:hAnsi="Calibri" w:cs="Calibri"/>
          <w:lang w:val="es-ES"/>
        </w:rPr>
      </w:pPr>
    </w:p>
    <w:p w14:paraId="4D779C52" w14:textId="77777777" w:rsidR="00CC6B30" w:rsidRPr="00DF2168" w:rsidRDefault="00CC6B30" w:rsidP="00CC6B30">
      <w:pPr>
        <w:spacing w:line="276" w:lineRule="auto"/>
        <w:jc w:val="both"/>
        <w:rPr>
          <w:rFonts w:ascii="Calibri" w:hAnsi="Calibri" w:cs="Calibri"/>
          <w:lang w:val="es-ES"/>
        </w:rPr>
      </w:pPr>
      <w:r w:rsidRPr="00DF2168">
        <w:rPr>
          <w:rFonts w:ascii="Calibri" w:hAnsi="Calibri" w:cs="Calibri"/>
          <w:lang w:val="es-ES"/>
        </w:rPr>
        <w:t>El Concejo Distrital, por iniciativa del Alcalde Distrital, podrá implementar la transformación político-administrativa del territorio, previo análisis financiero, político y territorial. La presente disposición sólo será aplicable al Distrito Especial de Manizales eje del conocimiento.</w:t>
      </w:r>
    </w:p>
    <w:p w14:paraId="0793DED8" w14:textId="77777777" w:rsidR="00985E9B" w:rsidRPr="000943B9" w:rsidRDefault="00985E9B" w:rsidP="00985E9B">
      <w:pPr>
        <w:spacing w:line="276" w:lineRule="auto"/>
        <w:jc w:val="both"/>
        <w:rPr>
          <w:rFonts w:ascii="Calibri" w:hAnsi="Calibri"/>
        </w:rPr>
      </w:pPr>
    </w:p>
    <w:p w14:paraId="4ED8B1BA" w14:textId="77777777" w:rsidR="00985E9B" w:rsidRPr="00985E9B" w:rsidRDefault="00985E9B" w:rsidP="00985E9B">
      <w:pPr>
        <w:spacing w:line="276" w:lineRule="auto"/>
        <w:jc w:val="both"/>
        <w:rPr>
          <w:rFonts w:ascii="Calibri" w:hAnsi="Calibri" w:cs="Calibri"/>
          <w:lang w:val="es-ES"/>
        </w:rPr>
      </w:pPr>
      <w:r w:rsidRPr="00DF2168">
        <w:rPr>
          <w:rFonts w:ascii="Calibri" w:hAnsi="Calibri" w:cs="Calibri"/>
          <w:b/>
          <w:bCs/>
          <w:lang w:val="es-ES"/>
        </w:rPr>
        <w:t>Artículo 4º. Vigencia.</w:t>
      </w:r>
      <w:r w:rsidRPr="00985E9B">
        <w:rPr>
          <w:rFonts w:ascii="Calibri" w:hAnsi="Calibri" w:cs="Calibri"/>
          <w:lang w:val="es-ES"/>
        </w:rPr>
        <w:t xml:space="preserve"> El presente Acto Legislativo rige a partir de su promulgación.</w:t>
      </w:r>
    </w:p>
    <w:p w14:paraId="45AB49F1" w14:textId="53BF37A8" w:rsidR="0082483D" w:rsidRPr="00985E9B" w:rsidRDefault="0082483D" w:rsidP="0082483D">
      <w:pPr>
        <w:jc w:val="both"/>
        <w:rPr>
          <w:lang w:val="es-ES"/>
        </w:rPr>
      </w:pPr>
    </w:p>
    <w:p w14:paraId="5510610D" w14:textId="77777777" w:rsidR="00BB6839" w:rsidRDefault="00BB6839" w:rsidP="00BB6839">
      <w:pPr>
        <w:jc w:val="both"/>
      </w:pPr>
      <w:r>
        <w:t>Firma el Honorable Representante,</w:t>
      </w:r>
    </w:p>
    <w:p w14:paraId="70681E04" w14:textId="77777777" w:rsidR="00BB6839" w:rsidRDefault="00BB6839" w:rsidP="00BB6839">
      <w:pPr>
        <w:jc w:val="both"/>
      </w:pPr>
    </w:p>
    <w:p w14:paraId="7D38D073" w14:textId="77777777" w:rsidR="00B83EA7" w:rsidRDefault="00B83EA7" w:rsidP="00BB6839">
      <w:pPr>
        <w:jc w:val="both"/>
      </w:pPr>
    </w:p>
    <w:p w14:paraId="027EE9EA" w14:textId="77777777" w:rsidR="00010CE1" w:rsidRDefault="00010CE1" w:rsidP="00BB6839">
      <w:pPr>
        <w:jc w:val="both"/>
      </w:pPr>
    </w:p>
    <w:p w14:paraId="1CF1F8CC" w14:textId="77777777" w:rsidR="00BB6839" w:rsidRPr="00215160" w:rsidRDefault="00BB6839" w:rsidP="00BB6839">
      <w:pPr>
        <w:jc w:val="both"/>
        <w:rPr>
          <w:b/>
          <w:bCs/>
        </w:rPr>
      </w:pPr>
      <w:r>
        <w:rPr>
          <w:b/>
          <w:bCs/>
        </w:rPr>
        <w:t>JUÁN SEBASTIAN GÓMEZ GONZÁLES</w:t>
      </w:r>
    </w:p>
    <w:p w14:paraId="01F490D7" w14:textId="699EC430" w:rsidR="005E0C91" w:rsidRDefault="00BB6839" w:rsidP="00985E9B">
      <w:pPr>
        <w:jc w:val="both"/>
      </w:pPr>
      <w:r>
        <w:t>Ponente</w:t>
      </w:r>
    </w:p>
    <w:sectPr w:rsidR="005E0C91" w:rsidSect="00010CE1">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9A9D7" w14:textId="77777777" w:rsidR="00D06625" w:rsidRDefault="00D06625" w:rsidP="00BB6839">
      <w:r>
        <w:separator/>
      </w:r>
    </w:p>
  </w:endnote>
  <w:endnote w:type="continuationSeparator" w:id="0">
    <w:p w14:paraId="324C6CEB" w14:textId="77777777" w:rsidR="00D06625" w:rsidRDefault="00D06625" w:rsidP="00BB6839">
      <w:r>
        <w:continuationSeparator/>
      </w:r>
    </w:p>
  </w:endnote>
  <w:endnote w:type="continuationNotice" w:id="1">
    <w:p w14:paraId="1B0D4AF5" w14:textId="77777777" w:rsidR="00D06625" w:rsidRDefault="00D06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EAAA1" w14:textId="77777777" w:rsidR="00D06625" w:rsidRDefault="00D06625" w:rsidP="00BB6839">
      <w:r>
        <w:separator/>
      </w:r>
    </w:p>
  </w:footnote>
  <w:footnote w:type="continuationSeparator" w:id="0">
    <w:p w14:paraId="5B6DF8A4" w14:textId="77777777" w:rsidR="00D06625" w:rsidRDefault="00D06625" w:rsidP="00BB6839">
      <w:r>
        <w:continuationSeparator/>
      </w:r>
    </w:p>
  </w:footnote>
  <w:footnote w:type="continuationNotice" w:id="1">
    <w:p w14:paraId="07F1446F" w14:textId="77777777" w:rsidR="00D06625" w:rsidRDefault="00D066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3491"/>
    <w:multiLevelType w:val="hybridMultilevel"/>
    <w:tmpl w:val="CCA44558"/>
    <w:lvl w:ilvl="0" w:tplc="FFFFFFFF">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6811CB"/>
    <w:multiLevelType w:val="hybridMultilevel"/>
    <w:tmpl w:val="997485CA"/>
    <w:lvl w:ilvl="0" w:tplc="8A729DF8">
      <w:start w:val="6"/>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987C23"/>
    <w:multiLevelType w:val="hybridMultilevel"/>
    <w:tmpl w:val="0EAAD8C2"/>
    <w:lvl w:ilvl="0" w:tplc="EBC0BC9A">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B3E2E30"/>
    <w:multiLevelType w:val="hybridMultilevel"/>
    <w:tmpl w:val="EC1C8C7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41B28B0"/>
    <w:multiLevelType w:val="hybridMultilevel"/>
    <w:tmpl w:val="966AE226"/>
    <w:lvl w:ilvl="0" w:tplc="548AAD1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3DD3711"/>
    <w:multiLevelType w:val="hybridMultilevel"/>
    <w:tmpl w:val="EC1C8C7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53C21246"/>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042"/>
    <w:rsid w:val="00010CE1"/>
    <w:rsid w:val="00017B90"/>
    <w:rsid w:val="00022789"/>
    <w:rsid w:val="00025724"/>
    <w:rsid w:val="000943B9"/>
    <w:rsid w:val="000C249C"/>
    <w:rsid w:val="000E0D7D"/>
    <w:rsid w:val="001125F6"/>
    <w:rsid w:val="00143E5A"/>
    <w:rsid w:val="00147EC4"/>
    <w:rsid w:val="001502FF"/>
    <w:rsid w:val="001879F7"/>
    <w:rsid w:val="001C28BE"/>
    <w:rsid w:val="001E79C5"/>
    <w:rsid w:val="00215160"/>
    <w:rsid w:val="0023599A"/>
    <w:rsid w:val="002B32B3"/>
    <w:rsid w:val="002C4042"/>
    <w:rsid w:val="002D6218"/>
    <w:rsid w:val="002E29EB"/>
    <w:rsid w:val="002F2CB8"/>
    <w:rsid w:val="00317633"/>
    <w:rsid w:val="00321CB4"/>
    <w:rsid w:val="00361D49"/>
    <w:rsid w:val="00407001"/>
    <w:rsid w:val="00432C2E"/>
    <w:rsid w:val="004B32AF"/>
    <w:rsid w:val="0051109A"/>
    <w:rsid w:val="0059701D"/>
    <w:rsid w:val="005D7144"/>
    <w:rsid w:val="005E0C91"/>
    <w:rsid w:val="006906A5"/>
    <w:rsid w:val="0069524D"/>
    <w:rsid w:val="006F4FBE"/>
    <w:rsid w:val="007410A7"/>
    <w:rsid w:val="00770A57"/>
    <w:rsid w:val="0082483D"/>
    <w:rsid w:val="00850206"/>
    <w:rsid w:val="00856C9A"/>
    <w:rsid w:val="00893C2B"/>
    <w:rsid w:val="008A300F"/>
    <w:rsid w:val="008F54F8"/>
    <w:rsid w:val="00985E9B"/>
    <w:rsid w:val="009D67C7"/>
    <w:rsid w:val="009E7E87"/>
    <w:rsid w:val="00A1715F"/>
    <w:rsid w:val="00A75373"/>
    <w:rsid w:val="00A7742A"/>
    <w:rsid w:val="00B075DF"/>
    <w:rsid w:val="00B130A7"/>
    <w:rsid w:val="00B275D7"/>
    <w:rsid w:val="00B83EA7"/>
    <w:rsid w:val="00B964D7"/>
    <w:rsid w:val="00BB6839"/>
    <w:rsid w:val="00BC7DD4"/>
    <w:rsid w:val="00BF2669"/>
    <w:rsid w:val="00C03FBD"/>
    <w:rsid w:val="00C147DD"/>
    <w:rsid w:val="00CC6B30"/>
    <w:rsid w:val="00CD35E5"/>
    <w:rsid w:val="00D06625"/>
    <w:rsid w:val="00D3134E"/>
    <w:rsid w:val="00D560CA"/>
    <w:rsid w:val="00D70263"/>
    <w:rsid w:val="00DB1B98"/>
    <w:rsid w:val="00DE26F3"/>
    <w:rsid w:val="00DF2168"/>
    <w:rsid w:val="00E03FF6"/>
    <w:rsid w:val="00E657E4"/>
    <w:rsid w:val="00EC2C95"/>
    <w:rsid w:val="00F203D2"/>
    <w:rsid w:val="00F621F0"/>
    <w:rsid w:val="00F846DF"/>
    <w:rsid w:val="00F94568"/>
    <w:rsid w:val="00FD2557"/>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48408"/>
  <w15:docId w15:val="{E6E32C50-DA82-4B3F-B3BC-D83832C7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042"/>
  </w:style>
  <w:style w:type="paragraph" w:styleId="Ttulo1">
    <w:name w:val="heading 1"/>
    <w:basedOn w:val="Normal"/>
    <w:next w:val="Normal"/>
    <w:link w:val="Ttulo1Car"/>
    <w:uiPriority w:val="9"/>
    <w:qFormat/>
    <w:rsid w:val="002B32B3"/>
    <w:pPr>
      <w:keepNext/>
      <w:keepLines/>
      <w:numPr>
        <w:numId w:val="4"/>
      </w:numPr>
      <w:spacing w:before="240" w:line="360" w:lineRule="auto"/>
      <w:ind w:left="431" w:hanging="431"/>
      <w:jc w:val="center"/>
      <w:outlineLvl w:val="0"/>
    </w:pPr>
    <w:rPr>
      <w:rFonts w:ascii="Tahoma" w:eastAsiaTheme="majorEastAsia" w:hAnsi="Tahoma" w:cstheme="majorBidi"/>
      <w:b/>
      <w:color w:val="7F7F7F" w:themeColor="text1" w:themeTint="80"/>
      <w:sz w:val="32"/>
      <w:szCs w:val="32"/>
      <w:lang w:eastAsia="en-US"/>
    </w:rPr>
  </w:style>
  <w:style w:type="paragraph" w:styleId="Ttulo2">
    <w:name w:val="heading 2"/>
    <w:basedOn w:val="Normal"/>
    <w:next w:val="Normal"/>
    <w:link w:val="Ttulo2Car"/>
    <w:uiPriority w:val="9"/>
    <w:unhideWhenUsed/>
    <w:qFormat/>
    <w:rsid w:val="002B32B3"/>
    <w:pPr>
      <w:keepNext/>
      <w:keepLines/>
      <w:numPr>
        <w:ilvl w:val="1"/>
        <w:numId w:val="4"/>
      </w:numPr>
      <w:spacing w:before="40" w:line="360" w:lineRule="auto"/>
      <w:jc w:val="both"/>
      <w:outlineLvl w:val="1"/>
    </w:pPr>
    <w:rPr>
      <w:rFonts w:ascii="Tahoma" w:eastAsiaTheme="majorEastAsia" w:hAnsi="Tahoma" w:cstheme="majorBidi"/>
      <w:b/>
      <w:color w:val="595959" w:themeColor="text1" w:themeTint="A6"/>
      <w:sz w:val="28"/>
      <w:szCs w:val="26"/>
      <w:lang w:eastAsia="en-US"/>
    </w:rPr>
  </w:style>
  <w:style w:type="paragraph" w:styleId="Ttulo3">
    <w:name w:val="heading 3"/>
    <w:basedOn w:val="Normal"/>
    <w:next w:val="Normal"/>
    <w:link w:val="Ttulo3Car"/>
    <w:uiPriority w:val="9"/>
    <w:unhideWhenUsed/>
    <w:qFormat/>
    <w:rsid w:val="002B32B3"/>
    <w:pPr>
      <w:keepNext/>
      <w:keepLines/>
      <w:numPr>
        <w:ilvl w:val="2"/>
        <w:numId w:val="4"/>
      </w:numPr>
      <w:spacing w:before="40" w:line="360" w:lineRule="auto"/>
      <w:jc w:val="both"/>
      <w:outlineLvl w:val="2"/>
    </w:pPr>
    <w:rPr>
      <w:rFonts w:ascii="Tahoma" w:eastAsiaTheme="majorEastAsia" w:hAnsi="Tahoma" w:cstheme="majorBidi"/>
      <w:b/>
      <w:color w:val="1F3763" w:themeColor="accent1" w:themeShade="7F"/>
      <w:sz w:val="22"/>
      <w:lang w:eastAsia="en-US"/>
    </w:rPr>
  </w:style>
  <w:style w:type="paragraph" w:styleId="Ttulo4">
    <w:name w:val="heading 4"/>
    <w:basedOn w:val="Normal"/>
    <w:next w:val="Normal"/>
    <w:link w:val="Ttulo4Car"/>
    <w:uiPriority w:val="9"/>
    <w:semiHidden/>
    <w:unhideWhenUsed/>
    <w:qFormat/>
    <w:rsid w:val="002B32B3"/>
    <w:pPr>
      <w:keepNext/>
      <w:keepLines/>
      <w:numPr>
        <w:ilvl w:val="3"/>
        <w:numId w:val="4"/>
      </w:numPr>
      <w:spacing w:before="40" w:line="360" w:lineRule="auto"/>
      <w:jc w:val="both"/>
      <w:outlineLvl w:val="3"/>
    </w:pPr>
    <w:rPr>
      <w:rFonts w:asciiTheme="majorHAnsi" w:eastAsiaTheme="majorEastAsia" w:hAnsiTheme="majorHAnsi" w:cstheme="majorBidi"/>
      <w:i/>
      <w:iCs/>
      <w:color w:val="2F5496" w:themeColor="accent1" w:themeShade="BF"/>
      <w:sz w:val="22"/>
      <w:szCs w:val="22"/>
      <w:lang w:eastAsia="en-US"/>
    </w:rPr>
  </w:style>
  <w:style w:type="paragraph" w:styleId="Ttulo5">
    <w:name w:val="heading 5"/>
    <w:basedOn w:val="Normal"/>
    <w:next w:val="Normal"/>
    <w:link w:val="Ttulo5Car"/>
    <w:uiPriority w:val="9"/>
    <w:semiHidden/>
    <w:unhideWhenUsed/>
    <w:qFormat/>
    <w:rsid w:val="002B32B3"/>
    <w:pPr>
      <w:keepNext/>
      <w:keepLines/>
      <w:numPr>
        <w:ilvl w:val="4"/>
        <w:numId w:val="4"/>
      </w:numPr>
      <w:spacing w:before="40" w:line="360" w:lineRule="auto"/>
      <w:jc w:val="both"/>
      <w:outlineLvl w:val="4"/>
    </w:pPr>
    <w:rPr>
      <w:rFonts w:asciiTheme="majorHAnsi" w:eastAsiaTheme="majorEastAsia" w:hAnsiTheme="majorHAnsi" w:cstheme="majorBidi"/>
      <w:color w:val="2F5496" w:themeColor="accent1" w:themeShade="BF"/>
      <w:sz w:val="22"/>
      <w:szCs w:val="22"/>
      <w:lang w:eastAsia="en-US"/>
    </w:rPr>
  </w:style>
  <w:style w:type="paragraph" w:styleId="Ttulo6">
    <w:name w:val="heading 6"/>
    <w:basedOn w:val="Normal"/>
    <w:next w:val="Normal"/>
    <w:link w:val="Ttulo6Car"/>
    <w:uiPriority w:val="9"/>
    <w:semiHidden/>
    <w:unhideWhenUsed/>
    <w:qFormat/>
    <w:rsid w:val="002B32B3"/>
    <w:pPr>
      <w:keepNext/>
      <w:keepLines/>
      <w:numPr>
        <w:ilvl w:val="5"/>
        <w:numId w:val="4"/>
      </w:numPr>
      <w:spacing w:before="40" w:line="360" w:lineRule="auto"/>
      <w:jc w:val="both"/>
      <w:outlineLvl w:val="5"/>
    </w:pPr>
    <w:rPr>
      <w:rFonts w:asciiTheme="majorHAnsi" w:eastAsiaTheme="majorEastAsia" w:hAnsiTheme="majorHAnsi" w:cstheme="majorBidi"/>
      <w:color w:val="1F3763" w:themeColor="accent1" w:themeShade="7F"/>
      <w:sz w:val="22"/>
      <w:szCs w:val="22"/>
      <w:lang w:eastAsia="en-US"/>
    </w:rPr>
  </w:style>
  <w:style w:type="paragraph" w:styleId="Ttulo7">
    <w:name w:val="heading 7"/>
    <w:basedOn w:val="Normal"/>
    <w:next w:val="Normal"/>
    <w:link w:val="Ttulo7Car"/>
    <w:uiPriority w:val="9"/>
    <w:semiHidden/>
    <w:unhideWhenUsed/>
    <w:qFormat/>
    <w:rsid w:val="002B32B3"/>
    <w:pPr>
      <w:keepNext/>
      <w:keepLines/>
      <w:numPr>
        <w:ilvl w:val="6"/>
        <w:numId w:val="4"/>
      </w:numPr>
      <w:spacing w:before="40" w:line="360" w:lineRule="auto"/>
      <w:jc w:val="both"/>
      <w:outlineLvl w:val="6"/>
    </w:pPr>
    <w:rPr>
      <w:rFonts w:asciiTheme="majorHAnsi" w:eastAsiaTheme="majorEastAsia" w:hAnsiTheme="majorHAnsi" w:cstheme="majorBidi"/>
      <w:i/>
      <w:iCs/>
      <w:color w:val="1F3763" w:themeColor="accent1" w:themeShade="7F"/>
      <w:sz w:val="22"/>
      <w:szCs w:val="22"/>
      <w:lang w:eastAsia="en-US"/>
    </w:rPr>
  </w:style>
  <w:style w:type="paragraph" w:styleId="Ttulo8">
    <w:name w:val="heading 8"/>
    <w:basedOn w:val="Normal"/>
    <w:next w:val="Normal"/>
    <w:link w:val="Ttulo8Car"/>
    <w:uiPriority w:val="9"/>
    <w:semiHidden/>
    <w:unhideWhenUsed/>
    <w:qFormat/>
    <w:rsid w:val="002B32B3"/>
    <w:pPr>
      <w:keepNext/>
      <w:keepLines/>
      <w:numPr>
        <w:ilvl w:val="7"/>
        <w:numId w:val="4"/>
      </w:numPr>
      <w:spacing w:before="40" w:line="360" w:lineRule="auto"/>
      <w:jc w:val="both"/>
      <w:outlineLvl w:val="7"/>
    </w:pPr>
    <w:rPr>
      <w:rFonts w:asciiTheme="majorHAnsi" w:eastAsiaTheme="majorEastAsia" w:hAnsiTheme="majorHAnsi" w:cstheme="majorBidi"/>
      <w:color w:val="272727" w:themeColor="text1" w:themeTint="D8"/>
      <w:sz w:val="21"/>
      <w:szCs w:val="21"/>
      <w:lang w:eastAsia="en-US"/>
    </w:rPr>
  </w:style>
  <w:style w:type="paragraph" w:styleId="Ttulo9">
    <w:name w:val="heading 9"/>
    <w:basedOn w:val="Normal"/>
    <w:next w:val="Normal"/>
    <w:link w:val="Ttulo9Car"/>
    <w:uiPriority w:val="9"/>
    <w:semiHidden/>
    <w:unhideWhenUsed/>
    <w:qFormat/>
    <w:rsid w:val="002B32B3"/>
    <w:pPr>
      <w:keepNext/>
      <w:keepLines/>
      <w:numPr>
        <w:ilvl w:val="8"/>
        <w:numId w:val="4"/>
      </w:numPr>
      <w:spacing w:before="40" w:line="360" w:lineRule="auto"/>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4042"/>
    <w:pPr>
      <w:ind w:left="720"/>
      <w:contextualSpacing/>
    </w:pPr>
  </w:style>
  <w:style w:type="character" w:styleId="Referenciasutil">
    <w:name w:val="Subtle Reference"/>
    <w:basedOn w:val="CitaHTML"/>
    <w:uiPriority w:val="31"/>
    <w:qFormat/>
    <w:rsid w:val="002C4042"/>
    <w:rPr>
      <w:rFonts w:ascii="Tahoma" w:hAnsi="Tahoma"/>
      <w:i/>
      <w:iCs/>
      <w:smallCaps/>
      <w:color w:val="5A5A5A" w:themeColor="text1" w:themeTint="A5"/>
      <w:sz w:val="20"/>
    </w:rPr>
  </w:style>
  <w:style w:type="character" w:styleId="CitaHTML">
    <w:name w:val="HTML Cite"/>
    <w:basedOn w:val="Fuentedeprrafopredeter"/>
    <w:uiPriority w:val="99"/>
    <w:semiHidden/>
    <w:unhideWhenUsed/>
    <w:rsid w:val="002C4042"/>
    <w:rPr>
      <w:i/>
      <w:iCs/>
    </w:rPr>
  </w:style>
  <w:style w:type="character" w:customStyle="1" w:styleId="Ttulo1Car">
    <w:name w:val="Título 1 Car"/>
    <w:basedOn w:val="Fuentedeprrafopredeter"/>
    <w:link w:val="Ttulo1"/>
    <w:uiPriority w:val="9"/>
    <w:rsid w:val="002B32B3"/>
    <w:rPr>
      <w:rFonts w:ascii="Tahoma" w:eastAsiaTheme="majorEastAsia" w:hAnsi="Tahoma" w:cstheme="majorBidi"/>
      <w:b/>
      <w:color w:val="7F7F7F" w:themeColor="text1" w:themeTint="80"/>
      <w:sz w:val="32"/>
      <w:szCs w:val="32"/>
      <w:lang w:eastAsia="en-US"/>
    </w:rPr>
  </w:style>
  <w:style w:type="character" w:customStyle="1" w:styleId="Ttulo2Car">
    <w:name w:val="Título 2 Car"/>
    <w:basedOn w:val="Fuentedeprrafopredeter"/>
    <w:link w:val="Ttulo2"/>
    <w:uiPriority w:val="9"/>
    <w:rsid w:val="002B32B3"/>
    <w:rPr>
      <w:rFonts w:ascii="Tahoma" w:eastAsiaTheme="majorEastAsia" w:hAnsi="Tahoma" w:cstheme="majorBidi"/>
      <w:b/>
      <w:color w:val="595959" w:themeColor="text1" w:themeTint="A6"/>
      <w:sz w:val="28"/>
      <w:szCs w:val="26"/>
      <w:lang w:eastAsia="en-US"/>
    </w:rPr>
  </w:style>
  <w:style w:type="character" w:customStyle="1" w:styleId="Ttulo3Car">
    <w:name w:val="Título 3 Car"/>
    <w:basedOn w:val="Fuentedeprrafopredeter"/>
    <w:link w:val="Ttulo3"/>
    <w:uiPriority w:val="9"/>
    <w:rsid w:val="002B32B3"/>
    <w:rPr>
      <w:rFonts w:ascii="Tahoma" w:eastAsiaTheme="majorEastAsia" w:hAnsi="Tahoma" w:cstheme="majorBidi"/>
      <w:b/>
      <w:color w:val="1F3763" w:themeColor="accent1" w:themeShade="7F"/>
      <w:sz w:val="22"/>
      <w:lang w:eastAsia="en-US"/>
    </w:rPr>
  </w:style>
  <w:style w:type="character" w:customStyle="1" w:styleId="Ttulo4Car">
    <w:name w:val="Título 4 Car"/>
    <w:basedOn w:val="Fuentedeprrafopredeter"/>
    <w:link w:val="Ttulo4"/>
    <w:uiPriority w:val="9"/>
    <w:semiHidden/>
    <w:rsid w:val="002B32B3"/>
    <w:rPr>
      <w:rFonts w:asciiTheme="majorHAnsi" w:eastAsiaTheme="majorEastAsia" w:hAnsiTheme="majorHAnsi" w:cstheme="majorBidi"/>
      <w:i/>
      <w:iCs/>
      <w:color w:val="2F5496" w:themeColor="accent1" w:themeShade="BF"/>
      <w:sz w:val="22"/>
      <w:szCs w:val="22"/>
      <w:lang w:eastAsia="en-US"/>
    </w:rPr>
  </w:style>
  <w:style w:type="character" w:customStyle="1" w:styleId="Ttulo5Car">
    <w:name w:val="Título 5 Car"/>
    <w:basedOn w:val="Fuentedeprrafopredeter"/>
    <w:link w:val="Ttulo5"/>
    <w:uiPriority w:val="9"/>
    <w:semiHidden/>
    <w:rsid w:val="002B32B3"/>
    <w:rPr>
      <w:rFonts w:asciiTheme="majorHAnsi" w:eastAsiaTheme="majorEastAsia" w:hAnsiTheme="majorHAnsi" w:cstheme="majorBidi"/>
      <w:color w:val="2F5496" w:themeColor="accent1" w:themeShade="BF"/>
      <w:sz w:val="22"/>
      <w:szCs w:val="22"/>
      <w:lang w:eastAsia="en-US"/>
    </w:rPr>
  </w:style>
  <w:style w:type="character" w:customStyle="1" w:styleId="Ttulo6Car">
    <w:name w:val="Título 6 Car"/>
    <w:basedOn w:val="Fuentedeprrafopredeter"/>
    <w:link w:val="Ttulo6"/>
    <w:uiPriority w:val="9"/>
    <w:semiHidden/>
    <w:rsid w:val="002B32B3"/>
    <w:rPr>
      <w:rFonts w:asciiTheme="majorHAnsi" w:eastAsiaTheme="majorEastAsia" w:hAnsiTheme="majorHAnsi" w:cstheme="majorBidi"/>
      <w:color w:val="1F3763" w:themeColor="accent1" w:themeShade="7F"/>
      <w:sz w:val="22"/>
      <w:szCs w:val="22"/>
      <w:lang w:eastAsia="en-US"/>
    </w:rPr>
  </w:style>
  <w:style w:type="character" w:customStyle="1" w:styleId="Ttulo7Car">
    <w:name w:val="Título 7 Car"/>
    <w:basedOn w:val="Fuentedeprrafopredeter"/>
    <w:link w:val="Ttulo7"/>
    <w:uiPriority w:val="9"/>
    <w:semiHidden/>
    <w:rsid w:val="002B32B3"/>
    <w:rPr>
      <w:rFonts w:asciiTheme="majorHAnsi" w:eastAsiaTheme="majorEastAsia" w:hAnsiTheme="majorHAnsi" w:cstheme="majorBidi"/>
      <w:i/>
      <w:iCs/>
      <w:color w:val="1F3763" w:themeColor="accent1" w:themeShade="7F"/>
      <w:sz w:val="22"/>
      <w:szCs w:val="22"/>
      <w:lang w:eastAsia="en-US"/>
    </w:rPr>
  </w:style>
  <w:style w:type="character" w:customStyle="1" w:styleId="Ttulo8Car">
    <w:name w:val="Título 8 Car"/>
    <w:basedOn w:val="Fuentedeprrafopredeter"/>
    <w:link w:val="Ttulo8"/>
    <w:uiPriority w:val="9"/>
    <w:semiHidden/>
    <w:rsid w:val="002B32B3"/>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2B32B3"/>
    <w:rPr>
      <w:rFonts w:asciiTheme="majorHAnsi" w:eastAsiaTheme="majorEastAsia" w:hAnsiTheme="majorHAnsi" w:cstheme="majorBidi"/>
      <w:i/>
      <w:iCs/>
      <w:color w:val="272727" w:themeColor="text1" w:themeTint="D8"/>
      <w:sz w:val="21"/>
      <w:szCs w:val="21"/>
      <w:lang w:eastAsia="en-US"/>
    </w:rPr>
  </w:style>
  <w:style w:type="paragraph" w:styleId="Textodeglobo">
    <w:name w:val="Balloon Text"/>
    <w:basedOn w:val="Normal"/>
    <w:link w:val="TextodegloboCar"/>
    <w:uiPriority w:val="99"/>
    <w:semiHidden/>
    <w:unhideWhenUsed/>
    <w:rsid w:val="00DE26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26F3"/>
    <w:rPr>
      <w:rFonts w:ascii="Segoe UI" w:hAnsi="Segoe UI" w:cs="Segoe UI"/>
      <w:sz w:val="18"/>
      <w:szCs w:val="18"/>
    </w:rPr>
  </w:style>
  <w:style w:type="paragraph" w:styleId="NormalWeb">
    <w:name w:val="Normal (Web)"/>
    <w:basedOn w:val="Normal"/>
    <w:uiPriority w:val="99"/>
    <w:unhideWhenUsed/>
    <w:rsid w:val="00025724"/>
    <w:pPr>
      <w:spacing w:before="100" w:beforeAutospacing="1" w:after="100" w:afterAutospacing="1"/>
    </w:pPr>
    <w:rPr>
      <w:rFonts w:ascii="Times New Roman" w:eastAsia="Times New Roman" w:hAnsi="Times New Roman" w:cs="Times New Roman"/>
      <w:lang w:eastAsia="es-CO"/>
    </w:rPr>
  </w:style>
  <w:style w:type="paragraph" w:styleId="Encabezado">
    <w:name w:val="header"/>
    <w:basedOn w:val="Normal"/>
    <w:link w:val="EncabezadoCar"/>
    <w:uiPriority w:val="99"/>
    <w:unhideWhenUsed/>
    <w:rsid w:val="00BB6839"/>
    <w:pPr>
      <w:tabs>
        <w:tab w:val="center" w:pos="4252"/>
        <w:tab w:val="right" w:pos="8504"/>
      </w:tabs>
    </w:pPr>
  </w:style>
  <w:style w:type="character" w:customStyle="1" w:styleId="EncabezadoCar">
    <w:name w:val="Encabezado Car"/>
    <w:basedOn w:val="Fuentedeprrafopredeter"/>
    <w:link w:val="Encabezado"/>
    <w:uiPriority w:val="99"/>
    <w:rsid w:val="00BB6839"/>
  </w:style>
  <w:style w:type="paragraph" w:styleId="Piedepgina">
    <w:name w:val="footer"/>
    <w:basedOn w:val="Normal"/>
    <w:link w:val="PiedepginaCar"/>
    <w:uiPriority w:val="99"/>
    <w:unhideWhenUsed/>
    <w:rsid w:val="00BB6839"/>
    <w:pPr>
      <w:tabs>
        <w:tab w:val="center" w:pos="4252"/>
        <w:tab w:val="right" w:pos="8504"/>
      </w:tabs>
    </w:pPr>
  </w:style>
  <w:style w:type="character" w:customStyle="1" w:styleId="PiedepginaCar">
    <w:name w:val="Pie de página Car"/>
    <w:basedOn w:val="Fuentedeprrafopredeter"/>
    <w:link w:val="Piedepgina"/>
    <w:uiPriority w:val="99"/>
    <w:rsid w:val="00BB6839"/>
  </w:style>
  <w:style w:type="table" w:styleId="Tablaconcuadrcula">
    <w:name w:val="Table Grid"/>
    <w:basedOn w:val="Tablanormal"/>
    <w:uiPriority w:val="39"/>
    <w:rsid w:val="00597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3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005_1992_pr007.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12149-DB1C-43B8-A684-7DC640D44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3909</Words>
  <Characters>21502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Guerrero Trujillo</dc:creator>
  <cp:lastModifiedBy>Paola Marcela Onatra Erazo</cp:lastModifiedBy>
  <cp:revision>2</cp:revision>
  <cp:lastPrinted>2023-08-30T22:11:00Z</cp:lastPrinted>
  <dcterms:created xsi:type="dcterms:W3CDTF">2023-08-30T22:13:00Z</dcterms:created>
  <dcterms:modified xsi:type="dcterms:W3CDTF">2023-08-30T22:13:00Z</dcterms:modified>
</cp:coreProperties>
</file>